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theme/themeOverride2.xml" ContentType="application/vnd.openxmlformats-officedocument.themeOverride+xml"/>
  <Override PartName="/word/diagrams/colors1.xml" ContentType="application/vnd.openxmlformats-officedocument.drawingml.diagramColors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6F" w:rsidRDefault="0089336F">
      <w:pPr>
        <w:rPr>
          <w:lang w:val="en-US"/>
        </w:rPr>
      </w:pPr>
    </w:p>
    <w:p w:rsidR="00AE625F" w:rsidRDefault="00AE625F">
      <w:pPr>
        <w:rPr>
          <w:lang w:val="en-US"/>
        </w:rPr>
      </w:pPr>
    </w:p>
    <w:p w:rsidR="00AE625F" w:rsidRPr="002C1BA0" w:rsidRDefault="00AE625F" w:rsidP="008533D7">
      <w:pPr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BA0">
        <w:rPr>
          <w:rFonts w:ascii="Times New Roman" w:hAnsi="Times New Roman" w:cs="Times New Roman"/>
          <w:b/>
          <w:sz w:val="28"/>
          <w:szCs w:val="28"/>
        </w:rPr>
        <w:t>Зар</w:t>
      </w:r>
      <w:r w:rsidR="008305CA">
        <w:rPr>
          <w:rFonts w:ascii="Times New Roman" w:hAnsi="Times New Roman" w:cs="Times New Roman"/>
          <w:b/>
          <w:sz w:val="28"/>
          <w:szCs w:val="28"/>
        </w:rPr>
        <w:t xml:space="preserve">аботную плату </w:t>
      </w:r>
      <w:r w:rsidRPr="002C1BA0">
        <w:rPr>
          <w:rFonts w:ascii="Times New Roman" w:hAnsi="Times New Roman" w:cs="Times New Roman"/>
          <w:b/>
          <w:sz w:val="28"/>
          <w:szCs w:val="28"/>
        </w:rPr>
        <w:t xml:space="preserve"> – не ниже МРОТ</w:t>
      </w:r>
      <w:r w:rsidR="002C1BA0">
        <w:rPr>
          <w:rFonts w:ascii="Times New Roman" w:hAnsi="Times New Roman" w:cs="Times New Roman"/>
          <w:b/>
          <w:sz w:val="28"/>
          <w:szCs w:val="28"/>
        </w:rPr>
        <w:t>.</w:t>
      </w:r>
    </w:p>
    <w:p w:rsidR="008533D7" w:rsidRDefault="00AE625F" w:rsidP="002C1BA0">
      <w:pPr>
        <w:ind w:firstLine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533D7">
        <w:rPr>
          <w:rFonts w:ascii="Times New Roman" w:hAnsi="Times New Roman" w:cs="Times New Roman"/>
          <w:sz w:val="28"/>
          <w:szCs w:val="28"/>
        </w:rPr>
        <w:t>В соответствии со ст. 133 Т</w:t>
      </w:r>
      <w:r w:rsidR="00AD4145">
        <w:rPr>
          <w:rFonts w:ascii="Times New Roman" w:hAnsi="Times New Roman" w:cs="Times New Roman"/>
          <w:sz w:val="28"/>
          <w:szCs w:val="28"/>
        </w:rPr>
        <w:t xml:space="preserve">рудового </w:t>
      </w:r>
      <w:r w:rsidRPr="008533D7">
        <w:rPr>
          <w:rFonts w:ascii="Times New Roman" w:hAnsi="Times New Roman" w:cs="Times New Roman"/>
          <w:sz w:val="28"/>
          <w:szCs w:val="28"/>
        </w:rPr>
        <w:t>К</w:t>
      </w:r>
      <w:r w:rsidR="00AD4145">
        <w:rPr>
          <w:rFonts w:ascii="Times New Roman" w:hAnsi="Times New Roman" w:cs="Times New Roman"/>
          <w:sz w:val="28"/>
          <w:szCs w:val="28"/>
        </w:rPr>
        <w:t>одекса</w:t>
      </w:r>
      <w:r w:rsidRPr="008533D7">
        <w:rPr>
          <w:rFonts w:ascii="Times New Roman" w:hAnsi="Times New Roman" w:cs="Times New Roman"/>
          <w:sz w:val="28"/>
          <w:szCs w:val="28"/>
        </w:rPr>
        <w:t xml:space="preserve"> РФ месячная заработная плата работника, полностью отработавшего положенную норму рабочего времени, не может быть ниже минимального </w:t>
      </w:r>
      <w:proofErr w:type="gramStart"/>
      <w:r w:rsidRPr="008533D7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533D7">
        <w:rPr>
          <w:rFonts w:ascii="Times New Roman" w:hAnsi="Times New Roman" w:cs="Times New Roman"/>
          <w:sz w:val="28"/>
          <w:szCs w:val="28"/>
        </w:rPr>
        <w:t xml:space="preserve"> (МРОТ). С 1 мая  2018 года  минимального </w:t>
      </w:r>
      <w:proofErr w:type="gramStart"/>
      <w:r w:rsidRPr="008533D7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Pr="008533D7">
        <w:rPr>
          <w:rFonts w:ascii="Times New Roman" w:hAnsi="Times New Roman" w:cs="Times New Roman"/>
          <w:sz w:val="28"/>
          <w:szCs w:val="28"/>
        </w:rPr>
        <w:t xml:space="preserve">  составил 11163 рубля в месяц (на основании Федерального закона от 07.03.2018  № 41-ФЗ «О внесении изменения в статью 1 Федерального закона «О минимальном размере оплаты труда).</w:t>
      </w:r>
    </w:p>
    <w:p w:rsidR="006621AE" w:rsidRDefault="00A24BE0" w:rsidP="002C1BA0">
      <w:pPr>
        <w:ind w:firstLine="72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91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C5EA8" w:rsidRPr="008533D7">
        <w:rPr>
          <w:rFonts w:ascii="Times New Roman" w:hAnsi="Times New Roman" w:cs="Times New Roman"/>
          <w:sz w:val="28"/>
          <w:szCs w:val="28"/>
        </w:rPr>
        <w:t xml:space="preserve">инимальный </w:t>
      </w:r>
      <w:proofErr w:type="gramStart"/>
      <w:r w:rsidR="003C5EA8" w:rsidRPr="008533D7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="003C5EA8" w:rsidRPr="008533D7">
        <w:rPr>
          <w:rFonts w:ascii="Times New Roman" w:hAnsi="Times New Roman" w:cs="Times New Roman"/>
          <w:sz w:val="28"/>
          <w:szCs w:val="28"/>
        </w:rPr>
        <w:t xml:space="preserve"> </w:t>
      </w:r>
      <w:r w:rsidR="00385383" w:rsidRPr="008533D7">
        <w:rPr>
          <w:rFonts w:ascii="Times New Roman" w:hAnsi="Times New Roman" w:cs="Times New Roman"/>
          <w:sz w:val="28"/>
          <w:szCs w:val="28"/>
        </w:rPr>
        <w:t xml:space="preserve">доведен до </w:t>
      </w:r>
      <w:r w:rsidR="003C5EA8" w:rsidRPr="008533D7">
        <w:rPr>
          <w:rFonts w:ascii="Times New Roman" w:hAnsi="Times New Roman" w:cs="Times New Roman"/>
          <w:sz w:val="28"/>
          <w:szCs w:val="28"/>
        </w:rPr>
        <w:t>величин</w:t>
      </w:r>
      <w:r w:rsidR="00385383" w:rsidRPr="008533D7">
        <w:rPr>
          <w:rFonts w:ascii="Times New Roman" w:hAnsi="Times New Roman" w:cs="Times New Roman"/>
          <w:sz w:val="28"/>
          <w:szCs w:val="28"/>
        </w:rPr>
        <w:t>ы</w:t>
      </w:r>
      <w:r w:rsidR="003C5EA8" w:rsidRPr="008533D7">
        <w:rPr>
          <w:rFonts w:ascii="Times New Roman" w:hAnsi="Times New Roman" w:cs="Times New Roman"/>
          <w:sz w:val="28"/>
          <w:szCs w:val="28"/>
        </w:rPr>
        <w:t xml:space="preserve"> прожиточного минимума трудоспособного населения</w:t>
      </w:r>
      <w:r w:rsidR="00AD4145">
        <w:rPr>
          <w:rFonts w:ascii="Times New Roman" w:hAnsi="Times New Roman" w:cs="Times New Roman"/>
          <w:sz w:val="28"/>
          <w:szCs w:val="28"/>
        </w:rPr>
        <w:t xml:space="preserve">. </w:t>
      </w:r>
      <w:r w:rsidR="00BB0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EA8" w:rsidRPr="00853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Величина прожиточного минимума</w:t>
      </w:r>
      <w:r w:rsidR="003C5EA8" w:rsidRPr="008533D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C5EA8" w:rsidRPr="008533D7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24 октября 1997 г. № 134-ФЗ "О прожиточном минимуме</w:t>
      </w:r>
      <w:r w:rsidR="003C5EA8" w:rsidRPr="008533D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C5EA8" w:rsidRPr="008533D7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Федерации" представляет собой стоимостную оценку потребительской корзины, а также обязательные платежи и сборы. </w:t>
      </w:r>
    </w:p>
    <w:p w:rsidR="002C1BA0" w:rsidRDefault="002C1BA0" w:rsidP="002C1BA0">
      <w:pPr>
        <w:ind w:firstLine="720"/>
        <w:contextualSpacing/>
        <w:mirrorIndent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Рисунок 1</w:t>
      </w:r>
    </w:p>
    <w:p w:rsidR="006621AE" w:rsidRDefault="006621AE" w:rsidP="002C1BA0">
      <w:pPr>
        <w:ind w:firstLine="72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6750" cy="32004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90A5E" w:rsidRDefault="003C5EA8" w:rsidP="002C1BA0">
      <w:pPr>
        <w:ind w:firstLine="72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33D7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Потребительская корзина включает </w:t>
      </w:r>
      <w:r w:rsidR="002C1BA0">
        <w:rPr>
          <w:rFonts w:ascii="Times New Roman" w:hAnsi="Times New Roman" w:cs="Times New Roman"/>
          <w:color w:val="000000"/>
          <w:sz w:val="28"/>
          <w:szCs w:val="28"/>
        </w:rPr>
        <w:t xml:space="preserve">(рисунок 1) </w:t>
      </w:r>
      <w:r w:rsidRPr="008533D7">
        <w:rPr>
          <w:rFonts w:ascii="Times New Roman" w:hAnsi="Times New Roman" w:cs="Times New Roman"/>
          <w:color w:val="000000"/>
          <w:sz w:val="28"/>
          <w:szCs w:val="28"/>
        </w:rPr>
        <w:t>минимальные наборы продуктов питания, непродовольственных товаров и услуг, необходимых для сохранения здоровья человека и обеспечения его жизнедеятельности</w:t>
      </w:r>
      <w:r w:rsidR="002C1BA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85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A5E" w:rsidRPr="00990A5E">
        <w:rPr>
          <w:rFonts w:ascii="Times New Roman" w:hAnsi="Times New Roman" w:cs="Times New Roman"/>
          <w:color w:val="000000"/>
          <w:sz w:val="28"/>
          <w:szCs w:val="28"/>
        </w:rPr>
        <w:t>включает в себя: 11 групп продовольственных продуктов – хлеб и крупяные культуры, картофель, овощи и бахчевые, фрукты свежие, сахар и кондитерские изделия, мясопродукты, рыбопродукты, молоко, яйца, масло растительное и другие жиры, соль, чай, специи;</w:t>
      </w:r>
      <w:proofErr w:type="gramEnd"/>
      <w:r w:rsidR="00990A5E" w:rsidRPr="00990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90A5E" w:rsidRPr="00990A5E">
        <w:rPr>
          <w:rFonts w:ascii="Times New Roman" w:hAnsi="Times New Roman" w:cs="Times New Roman"/>
          <w:color w:val="000000"/>
          <w:sz w:val="28"/>
          <w:szCs w:val="28"/>
        </w:rPr>
        <w:t xml:space="preserve">10 групп </w:t>
      </w:r>
      <w:r w:rsidR="00990A5E" w:rsidRPr="00990A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непродовольственных товаров – пальтовая группа, костюмы и платья, белье, чулочно-носочные изделия, головные уборы, обувь, школьно-письменные товары, постельное белье, культурно-бытовые и хозяйственные товары, предметы санитарии и лекарства; 7 видов услуг – оплата жилья, центральное отопление, водоснабжение, газоснабжение, электроснабжение, транспортные и другие услуги.</w:t>
      </w:r>
      <w:proofErr w:type="gramEnd"/>
    </w:p>
    <w:p w:rsidR="008305CA" w:rsidRDefault="00990A5E" w:rsidP="002C1BA0">
      <w:pPr>
        <w:ind w:firstLine="720"/>
        <w:contextualSpacing/>
        <w:mirrorIndents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990A5E">
        <w:rPr>
          <w:rFonts w:ascii="Times New Roman" w:hAnsi="Times New Roman" w:cs="Times New Roman"/>
          <w:color w:val="000000"/>
          <w:sz w:val="28"/>
          <w:szCs w:val="28"/>
        </w:rPr>
        <w:t xml:space="preserve">Величина прожиточного минимума </w:t>
      </w:r>
      <w:r>
        <w:rPr>
          <w:rFonts w:ascii="Times New Roman" w:hAnsi="Times New Roman" w:cs="Times New Roman"/>
          <w:color w:val="000000"/>
          <w:sz w:val="28"/>
          <w:szCs w:val="28"/>
        </w:rPr>
        <w:t>(ПМ)</w:t>
      </w:r>
      <w:r w:rsidR="003C5EA8" w:rsidRPr="008533D7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федеральным законом</w:t>
      </w:r>
      <w:r w:rsidR="0085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EA8" w:rsidRPr="008533D7">
        <w:rPr>
          <w:rFonts w:ascii="Times New Roman" w:hAnsi="Times New Roman" w:cs="Times New Roman"/>
          <w:color w:val="000000"/>
          <w:sz w:val="28"/>
          <w:szCs w:val="28"/>
        </w:rPr>
        <w:t>- в целом по Российской Федерации, законодательными  органами субъектов Российской Федерации</w:t>
      </w:r>
      <w:r w:rsidR="003C5EA8" w:rsidRPr="008533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C5EA8" w:rsidRPr="008533D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5EA8" w:rsidRPr="008533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C5EA8" w:rsidRPr="008533D7">
        <w:rPr>
          <w:rFonts w:ascii="Times New Roman" w:hAnsi="Times New Roman" w:cs="Times New Roman"/>
          <w:color w:val="000000"/>
          <w:sz w:val="28"/>
          <w:szCs w:val="28"/>
        </w:rPr>
        <w:t>в субъектах Российской Федерации.</w:t>
      </w:r>
      <w:r w:rsidR="003C5EA8" w:rsidRPr="008533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533D7" w:rsidRDefault="00BB05D8" w:rsidP="002C1BA0">
      <w:pPr>
        <w:ind w:firstLine="720"/>
        <w:contextualSpacing/>
        <w:mirrorIndents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По Республике Татарстан в 1 квартале 2018 года величина ПМ</w:t>
      </w:r>
      <w:r w:rsidR="005912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составила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8527 рублей</w:t>
      </w:r>
      <w:r w:rsidR="002C1BA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(таблица 1), </w:t>
      </w:r>
      <w:r w:rsidR="008305C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р</w:t>
      </w:r>
      <w:r w:rsidR="002C1BA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ост к 1 кварталу 2017 года составил </w:t>
      </w:r>
      <w:r w:rsidR="008305C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-2</w:t>
      </w:r>
      <w:r w:rsidR="002C1BA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,8%.</w:t>
      </w:r>
    </w:p>
    <w:p w:rsidR="002C1BA0" w:rsidRDefault="002C1BA0" w:rsidP="002C1BA0">
      <w:pPr>
        <w:tabs>
          <w:tab w:val="num" w:pos="-2808"/>
          <w:tab w:val="right" w:pos="93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C1BA0" w:rsidRDefault="002C1BA0" w:rsidP="002C1BA0">
      <w:pPr>
        <w:tabs>
          <w:tab w:val="num" w:pos="-2808"/>
          <w:tab w:val="right" w:pos="93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C1BA0" w:rsidRDefault="002C1BA0" w:rsidP="002C1BA0">
      <w:pPr>
        <w:tabs>
          <w:tab w:val="num" w:pos="-2808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0A5E" w:rsidRDefault="000B7E4F" w:rsidP="002C1BA0">
      <w:pPr>
        <w:tabs>
          <w:tab w:val="num" w:pos="-2808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53F5">
        <w:rPr>
          <w:rFonts w:ascii="Times New Roman" w:hAnsi="Times New Roman" w:cs="Times New Roman"/>
          <w:sz w:val="28"/>
          <w:szCs w:val="28"/>
        </w:rPr>
        <w:t xml:space="preserve">Величина </w:t>
      </w:r>
    </w:p>
    <w:p w:rsidR="000B7E4F" w:rsidRPr="00AA53F5" w:rsidRDefault="002C1BA0" w:rsidP="002C1BA0">
      <w:pPr>
        <w:tabs>
          <w:tab w:val="num" w:pos="-2808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7E4F" w:rsidRPr="00AA53F5">
        <w:rPr>
          <w:rFonts w:ascii="Times New Roman" w:hAnsi="Times New Roman" w:cs="Times New Roman"/>
          <w:sz w:val="28"/>
          <w:szCs w:val="28"/>
        </w:rPr>
        <w:t>рожиточного минимума в расчете на душу населения</w:t>
      </w:r>
    </w:p>
    <w:p w:rsidR="000B7E4F" w:rsidRPr="00AA53F5" w:rsidRDefault="000B7E4F" w:rsidP="002C1BA0">
      <w:pPr>
        <w:tabs>
          <w:tab w:val="num" w:pos="-2808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53F5">
        <w:rPr>
          <w:rFonts w:ascii="Times New Roman" w:hAnsi="Times New Roman" w:cs="Times New Roman"/>
          <w:sz w:val="28"/>
          <w:szCs w:val="28"/>
        </w:rPr>
        <w:t xml:space="preserve">в Республике Татарстан за </w:t>
      </w:r>
      <w:r w:rsidRPr="00AA53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53F5">
        <w:rPr>
          <w:rFonts w:ascii="Times New Roman" w:hAnsi="Times New Roman" w:cs="Times New Roman"/>
          <w:sz w:val="28"/>
          <w:szCs w:val="28"/>
        </w:rPr>
        <w:t xml:space="preserve"> квартал 2018г.</w:t>
      </w:r>
      <w:r w:rsidRPr="00AA53F5">
        <w:rPr>
          <w:rFonts w:ascii="Times New Roman" w:hAnsi="Times New Roman" w:cs="Times New Roman"/>
          <w:sz w:val="28"/>
          <w:szCs w:val="28"/>
          <w:vertAlign w:val="superscript"/>
        </w:rPr>
        <w:t>1)</w:t>
      </w:r>
    </w:p>
    <w:p w:rsidR="000B7E4F" w:rsidRPr="00C0703A" w:rsidRDefault="000B7E4F" w:rsidP="002C1BA0">
      <w:pPr>
        <w:spacing w:after="0" w:line="240" w:lineRule="auto"/>
        <w:ind w:right="-30"/>
        <w:contextualSpacing/>
        <w:jc w:val="right"/>
        <w:rPr>
          <w:rFonts w:ascii="Arial" w:hAnsi="Arial" w:cs="Arial"/>
          <w:sz w:val="18"/>
        </w:rPr>
      </w:pPr>
      <w:r w:rsidRPr="00C0703A">
        <w:rPr>
          <w:rFonts w:ascii="Arial" w:hAnsi="Arial" w:cs="Arial"/>
          <w:sz w:val="18"/>
        </w:rPr>
        <w:t>рублей в месяц</w:t>
      </w:r>
    </w:p>
    <w:tbl>
      <w:tblPr>
        <w:tblW w:w="909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33"/>
        <w:gridCol w:w="1664"/>
        <w:gridCol w:w="1664"/>
        <w:gridCol w:w="1664"/>
        <w:gridCol w:w="1666"/>
      </w:tblGrid>
      <w:tr w:rsidR="000B7E4F" w:rsidRPr="008226C3" w:rsidTr="00BB05D8">
        <w:trPr>
          <w:cantSplit/>
          <w:trHeight w:val="417"/>
        </w:trPr>
        <w:tc>
          <w:tcPr>
            <w:tcW w:w="2433" w:type="dxa"/>
            <w:vMerge w:val="restart"/>
            <w:tcBorders>
              <w:top w:val="single" w:sz="18" w:space="0" w:color="auto"/>
            </w:tcBorders>
          </w:tcPr>
          <w:p w:rsidR="000B7E4F" w:rsidRPr="00C0703A" w:rsidRDefault="000B7E4F" w:rsidP="002C1BA0">
            <w:pPr>
              <w:spacing w:after="0" w:line="252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58" w:type="dxa"/>
            <w:gridSpan w:val="4"/>
            <w:tcBorders>
              <w:top w:val="single" w:sz="18" w:space="0" w:color="auto"/>
            </w:tcBorders>
          </w:tcPr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 xml:space="preserve">Величина прожиточного минимума, установленная в субъектах Российской Федерации в среднем на душу населения, рублей в месяц </w:t>
            </w:r>
          </w:p>
        </w:tc>
      </w:tr>
      <w:tr w:rsidR="000B7E4F" w:rsidRPr="008226C3" w:rsidTr="00BB05D8">
        <w:trPr>
          <w:cantSplit/>
          <w:trHeight w:val="146"/>
        </w:trPr>
        <w:tc>
          <w:tcPr>
            <w:tcW w:w="2433" w:type="dxa"/>
            <w:vMerge/>
          </w:tcPr>
          <w:p w:rsidR="000B7E4F" w:rsidRPr="00C0703A" w:rsidRDefault="000B7E4F" w:rsidP="002C1BA0">
            <w:pPr>
              <w:spacing w:after="0" w:line="252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все</w:t>
            </w:r>
            <w:r w:rsidRPr="00C0703A">
              <w:rPr>
                <w:rFonts w:ascii="Arial" w:hAnsi="Arial" w:cs="Arial"/>
                <w:sz w:val="18"/>
                <w:szCs w:val="18"/>
              </w:rPr>
              <w:br/>
              <w:t xml:space="preserve"> население</w:t>
            </w:r>
          </w:p>
        </w:tc>
        <w:tc>
          <w:tcPr>
            <w:tcW w:w="4993" w:type="dxa"/>
            <w:gridSpan w:val="3"/>
          </w:tcPr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 xml:space="preserve">в том числе по </w:t>
            </w:r>
            <w:proofErr w:type="gramStart"/>
            <w:r w:rsidRPr="00C0703A">
              <w:rPr>
                <w:rFonts w:ascii="Arial" w:hAnsi="Arial" w:cs="Arial"/>
                <w:sz w:val="18"/>
                <w:szCs w:val="18"/>
              </w:rPr>
              <w:t>социально-демографическим</w:t>
            </w:r>
            <w:proofErr w:type="gramEnd"/>
          </w:p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группам</w:t>
            </w:r>
          </w:p>
        </w:tc>
      </w:tr>
      <w:tr w:rsidR="000B7E4F" w:rsidRPr="008226C3" w:rsidTr="00BB05D8">
        <w:trPr>
          <w:cantSplit/>
          <w:trHeight w:val="146"/>
        </w:trPr>
        <w:tc>
          <w:tcPr>
            <w:tcW w:w="2433" w:type="dxa"/>
            <w:vMerge/>
            <w:tcBorders>
              <w:bottom w:val="single" w:sz="18" w:space="0" w:color="auto"/>
            </w:tcBorders>
          </w:tcPr>
          <w:p w:rsidR="000B7E4F" w:rsidRPr="00C0703A" w:rsidRDefault="000B7E4F" w:rsidP="002C1BA0">
            <w:pPr>
              <w:spacing w:after="0" w:line="252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bottom w:val="single" w:sz="18" w:space="0" w:color="auto"/>
            </w:tcBorders>
          </w:tcPr>
          <w:p w:rsidR="000B7E4F" w:rsidRPr="00C0703A" w:rsidRDefault="000B7E4F" w:rsidP="002C1BA0">
            <w:pPr>
              <w:spacing w:after="0" w:line="252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18" w:space="0" w:color="auto"/>
            </w:tcBorders>
            <w:vAlign w:val="center"/>
          </w:tcPr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трудоспособное</w:t>
            </w:r>
            <w:r w:rsidRPr="00C0703A">
              <w:rPr>
                <w:rFonts w:ascii="Arial" w:hAnsi="Arial" w:cs="Arial"/>
                <w:sz w:val="18"/>
                <w:szCs w:val="18"/>
              </w:rPr>
              <w:br/>
              <w:t xml:space="preserve"> население</w:t>
            </w:r>
          </w:p>
        </w:tc>
        <w:tc>
          <w:tcPr>
            <w:tcW w:w="1664" w:type="dxa"/>
            <w:tcBorders>
              <w:bottom w:val="single" w:sz="18" w:space="0" w:color="auto"/>
            </w:tcBorders>
            <w:vAlign w:val="center"/>
          </w:tcPr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пенсионеры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0B7E4F" w:rsidRPr="00C0703A" w:rsidRDefault="000B7E4F" w:rsidP="002C1BA0">
            <w:pPr>
              <w:spacing w:after="0" w:line="25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дети</w:t>
            </w:r>
          </w:p>
        </w:tc>
      </w:tr>
      <w:tr w:rsidR="000B7E4F" w:rsidRPr="008226C3" w:rsidTr="00BB05D8">
        <w:trPr>
          <w:trHeight w:val="470"/>
        </w:trPr>
        <w:tc>
          <w:tcPr>
            <w:tcW w:w="2433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C0703A" w:rsidRDefault="000B7E4F" w:rsidP="002C1BA0">
            <w:pPr>
              <w:spacing w:after="0" w:line="252" w:lineRule="auto"/>
              <w:contextualSpacing/>
              <w:rPr>
                <w:rFonts w:ascii="Arial" w:hAnsi="Arial" w:cs="Arial"/>
                <w:b/>
                <w:snapToGrid w:val="0"/>
                <w:sz w:val="18"/>
                <w:szCs w:val="18"/>
                <w:vertAlign w:val="superscript"/>
                <w:lang w:val="en-US"/>
              </w:rPr>
            </w:pPr>
            <w:r w:rsidRPr="00C0703A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Величина прожиточного минимума </w:t>
            </w:r>
          </w:p>
        </w:tc>
        <w:tc>
          <w:tcPr>
            <w:tcW w:w="1664" w:type="dxa"/>
            <w:tcBorders>
              <w:top w:val="single" w:sz="18" w:space="0" w:color="auto"/>
              <w:bottom w:val="nil"/>
            </w:tcBorders>
            <w:vAlign w:val="center"/>
          </w:tcPr>
          <w:p w:rsidR="000B7E4F" w:rsidRPr="00C0703A" w:rsidRDefault="000B7E4F" w:rsidP="002C1BA0">
            <w:pPr>
              <w:widowControl w:val="0"/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070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8527</w:t>
            </w:r>
          </w:p>
        </w:tc>
        <w:tc>
          <w:tcPr>
            <w:tcW w:w="1664" w:type="dxa"/>
            <w:tcBorders>
              <w:top w:val="single" w:sz="18" w:space="0" w:color="auto"/>
              <w:bottom w:val="nil"/>
            </w:tcBorders>
            <w:vAlign w:val="center"/>
          </w:tcPr>
          <w:p w:rsidR="000B7E4F" w:rsidRPr="00C0703A" w:rsidRDefault="000B7E4F" w:rsidP="002C1BA0">
            <w:pPr>
              <w:widowControl w:val="0"/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070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9066</w:t>
            </w:r>
          </w:p>
        </w:tc>
        <w:tc>
          <w:tcPr>
            <w:tcW w:w="1664" w:type="dxa"/>
            <w:tcBorders>
              <w:top w:val="single" w:sz="18" w:space="0" w:color="auto"/>
              <w:bottom w:val="nil"/>
            </w:tcBorders>
            <w:vAlign w:val="center"/>
          </w:tcPr>
          <w:p w:rsidR="000B7E4F" w:rsidRPr="00C0703A" w:rsidRDefault="000B7E4F" w:rsidP="002C1BA0">
            <w:pPr>
              <w:widowControl w:val="0"/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070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6970</w:t>
            </w:r>
          </w:p>
        </w:tc>
        <w:tc>
          <w:tcPr>
            <w:tcW w:w="1665" w:type="dxa"/>
            <w:tcBorders>
              <w:top w:val="single" w:sz="18" w:space="0" w:color="auto"/>
              <w:bottom w:val="nil"/>
            </w:tcBorders>
            <w:vAlign w:val="center"/>
          </w:tcPr>
          <w:p w:rsidR="000B7E4F" w:rsidRPr="00C0703A" w:rsidRDefault="000B7E4F" w:rsidP="002C1BA0">
            <w:pPr>
              <w:widowControl w:val="0"/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070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8597</w:t>
            </w:r>
          </w:p>
        </w:tc>
      </w:tr>
      <w:tr w:rsidR="000B7E4F" w:rsidRPr="008226C3" w:rsidTr="00BB05D8">
        <w:trPr>
          <w:trHeight w:val="143"/>
        </w:trPr>
        <w:tc>
          <w:tcPr>
            <w:tcW w:w="2433" w:type="dxa"/>
            <w:tcBorders>
              <w:top w:val="nil"/>
              <w:bottom w:val="nil"/>
            </w:tcBorders>
            <w:vAlign w:val="center"/>
          </w:tcPr>
          <w:p w:rsidR="000B7E4F" w:rsidRPr="00C0703A" w:rsidRDefault="000B7E4F" w:rsidP="002C1BA0">
            <w:pPr>
              <w:spacing w:after="0" w:line="252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C0703A">
              <w:rPr>
                <w:rFonts w:ascii="Arial" w:hAnsi="Arial" w:cs="Arial"/>
                <w:snapToGrid w:val="0"/>
                <w:sz w:val="18"/>
                <w:szCs w:val="18"/>
              </w:rPr>
              <w:t>в</w:t>
            </w:r>
            <w:proofErr w:type="gramEnd"/>
            <w:r w:rsidRPr="00C0703A">
              <w:rPr>
                <w:rFonts w:ascii="Arial" w:hAnsi="Arial" w:cs="Arial"/>
                <w:snapToGrid w:val="0"/>
                <w:sz w:val="18"/>
                <w:szCs w:val="18"/>
              </w:rPr>
              <w:t xml:space="preserve"> % к </w:t>
            </w:r>
            <w:r w:rsidRPr="00C0703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IV</w:t>
            </w:r>
            <w:r w:rsidRPr="00C0703A">
              <w:rPr>
                <w:rFonts w:ascii="Arial" w:hAnsi="Arial" w:cs="Arial"/>
                <w:snapToGrid w:val="0"/>
                <w:sz w:val="18"/>
                <w:szCs w:val="18"/>
              </w:rPr>
              <w:t xml:space="preserve"> кварталу 2017г.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102,2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103,3</w:t>
            </w:r>
          </w:p>
        </w:tc>
      </w:tr>
      <w:tr w:rsidR="000B7E4F" w:rsidRPr="008226C3" w:rsidTr="00BB05D8">
        <w:trPr>
          <w:trHeight w:val="82"/>
        </w:trPr>
        <w:tc>
          <w:tcPr>
            <w:tcW w:w="2433" w:type="dxa"/>
            <w:tcBorders>
              <w:top w:val="nil"/>
              <w:bottom w:val="single" w:sz="18" w:space="0" w:color="auto"/>
            </w:tcBorders>
            <w:vAlign w:val="center"/>
          </w:tcPr>
          <w:p w:rsidR="000B7E4F" w:rsidRPr="00C0703A" w:rsidRDefault="000B7E4F" w:rsidP="002C1BA0">
            <w:pPr>
              <w:spacing w:after="0" w:line="252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C0703A">
              <w:rPr>
                <w:rFonts w:ascii="Arial" w:hAnsi="Arial" w:cs="Arial"/>
                <w:snapToGrid w:val="0"/>
                <w:sz w:val="18"/>
                <w:szCs w:val="18"/>
              </w:rPr>
              <w:t>в</w:t>
            </w:r>
            <w:proofErr w:type="gramEnd"/>
            <w:r w:rsidRPr="00C0703A">
              <w:rPr>
                <w:rFonts w:ascii="Arial" w:hAnsi="Arial" w:cs="Arial"/>
                <w:snapToGrid w:val="0"/>
                <w:sz w:val="18"/>
                <w:szCs w:val="18"/>
              </w:rPr>
              <w:t xml:space="preserve"> % к </w:t>
            </w:r>
            <w:r w:rsidRPr="00C0703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I</w:t>
            </w:r>
            <w:r w:rsidRPr="00C0703A">
              <w:rPr>
                <w:rFonts w:ascii="Arial" w:hAnsi="Arial" w:cs="Arial"/>
                <w:snapToGrid w:val="0"/>
                <w:sz w:val="18"/>
                <w:szCs w:val="18"/>
              </w:rPr>
              <w:t xml:space="preserve"> кварталу 2017г.</w:t>
            </w:r>
          </w:p>
        </w:tc>
        <w:tc>
          <w:tcPr>
            <w:tcW w:w="1664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  <w:tc>
          <w:tcPr>
            <w:tcW w:w="1664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1664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1665" w:type="dxa"/>
            <w:tcBorders>
              <w:top w:val="nil"/>
              <w:bottom w:val="single" w:sz="18" w:space="0" w:color="auto"/>
            </w:tcBorders>
            <w:shd w:val="clear" w:color="auto" w:fill="auto"/>
            <w:vAlign w:val="bottom"/>
          </w:tcPr>
          <w:p w:rsidR="000B7E4F" w:rsidRPr="00C0703A" w:rsidRDefault="000B7E4F" w:rsidP="002C1BA0">
            <w:pPr>
              <w:spacing w:after="0" w:line="252" w:lineRule="auto"/>
              <w:ind w:right="284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03A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</w:tr>
    </w:tbl>
    <w:p w:rsidR="000B7E4F" w:rsidRDefault="000B7E4F" w:rsidP="002C1BA0">
      <w:pPr>
        <w:ind w:firstLine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D4145" w:rsidRDefault="00681A46" w:rsidP="002C1BA0">
      <w:pPr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дальнейшего совершенствования </w:t>
      </w:r>
      <w:r w:rsidR="00714E34">
        <w:rPr>
          <w:rFonts w:ascii="Times New Roman" w:hAnsi="Times New Roman" w:cs="Times New Roman"/>
          <w:sz w:val="28"/>
          <w:szCs w:val="28"/>
        </w:rPr>
        <w:t>системы оплаты труда</w:t>
      </w:r>
      <w:r w:rsidR="00AD4145">
        <w:rPr>
          <w:rFonts w:ascii="Times New Roman" w:hAnsi="Times New Roman" w:cs="Times New Roman"/>
          <w:sz w:val="28"/>
          <w:szCs w:val="28"/>
        </w:rPr>
        <w:t xml:space="preserve"> работающего населения </w:t>
      </w:r>
      <w:r w:rsidR="00714E34">
        <w:rPr>
          <w:rFonts w:ascii="Times New Roman" w:hAnsi="Times New Roman" w:cs="Times New Roman"/>
          <w:sz w:val="28"/>
          <w:szCs w:val="28"/>
        </w:rPr>
        <w:t xml:space="preserve"> </w:t>
      </w:r>
      <w:r w:rsidRPr="00C626E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профсоюзы, и политические партии</w:t>
      </w:r>
      <w:r>
        <w:rPr>
          <w:rFonts w:ascii="Times New Roman" w:hAnsi="Times New Roman" w:cs="Times New Roman"/>
          <w:sz w:val="28"/>
          <w:szCs w:val="28"/>
        </w:rPr>
        <w:t xml:space="preserve"> предлагают </w:t>
      </w:r>
      <w:r w:rsidR="00714E34" w:rsidRPr="00714E34">
        <w:rPr>
          <w:rFonts w:ascii="Times New Roman" w:hAnsi="Times New Roman" w:cs="Times New Roman"/>
          <w:sz w:val="28"/>
          <w:szCs w:val="28"/>
        </w:rPr>
        <w:t xml:space="preserve">МРОТ </w:t>
      </w:r>
      <w:r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AD4145">
        <w:rPr>
          <w:rFonts w:ascii="Times New Roman" w:hAnsi="Times New Roman" w:cs="Times New Roman"/>
          <w:sz w:val="28"/>
          <w:szCs w:val="28"/>
        </w:rPr>
        <w:t xml:space="preserve">до уровня </w:t>
      </w:r>
      <w:r w:rsidR="00714E34" w:rsidRPr="00714E34">
        <w:rPr>
          <w:rFonts w:ascii="Times New Roman" w:hAnsi="Times New Roman" w:cs="Times New Roman"/>
          <w:sz w:val="28"/>
          <w:szCs w:val="28"/>
        </w:rPr>
        <w:t xml:space="preserve">минимального потребительского бюджета. </w:t>
      </w:r>
    </w:p>
    <w:p w:rsidR="005912F4" w:rsidRPr="00C626E5" w:rsidRDefault="005912F4" w:rsidP="002C1BA0">
      <w:pPr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26E5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«О минимальном потребительском бюджете в Республике Татарстан» закреплены обязательства по повышению заработной платы путем поэтапного приближения минимальной оплаты труда к величине минимального потребительского бюджета РТ.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626E5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передовой </w:t>
      </w:r>
      <w:r w:rsidRPr="00C626E5">
        <w:rPr>
          <w:rFonts w:ascii="Times New Roman" w:hAnsi="Times New Roman" w:cs="Times New Roman"/>
          <w:sz w:val="28"/>
          <w:szCs w:val="28"/>
        </w:rPr>
        <w:t xml:space="preserve">проект, не имеющий прецедента ни в одном из регионов России. </w:t>
      </w:r>
      <w:r w:rsidR="006017A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C626E5">
        <w:rPr>
          <w:rFonts w:ascii="Times New Roman" w:hAnsi="Times New Roman" w:cs="Times New Roman"/>
          <w:sz w:val="28"/>
          <w:szCs w:val="28"/>
        </w:rPr>
        <w:t>данный целевой ориентир является ключевым для всех видов соглашений и коллективных договоров</w:t>
      </w:r>
      <w:r w:rsidRPr="00C626E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.</w:t>
      </w:r>
    </w:p>
    <w:p w:rsidR="006008C0" w:rsidRPr="006008C0" w:rsidRDefault="006008C0" w:rsidP="002C1BA0">
      <w:pPr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008C0">
        <w:rPr>
          <w:rFonts w:ascii="Times New Roman" w:hAnsi="Times New Roman" w:cs="Times New Roman"/>
          <w:sz w:val="28"/>
          <w:szCs w:val="28"/>
        </w:rPr>
        <w:t>Чем прожиточный минимум отличается от минимального потребительского бюджета? Прожиточный минимум учитывает только самые насущные, жизненно необходимые потребности человека.</w:t>
      </w:r>
    </w:p>
    <w:p w:rsidR="00123F3E" w:rsidRPr="00123F3E" w:rsidRDefault="006008C0" w:rsidP="002C1BA0">
      <w:pPr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008C0">
        <w:rPr>
          <w:rFonts w:ascii="Times New Roman" w:hAnsi="Times New Roman" w:cs="Times New Roman"/>
          <w:sz w:val="28"/>
          <w:szCs w:val="28"/>
        </w:rPr>
        <w:lastRenderedPageBreak/>
        <w:t>Минимальный потребительский бюджет – это бюджет, обеспечивающий</w:t>
      </w:r>
      <w:r w:rsidR="00C626E5">
        <w:rPr>
          <w:rFonts w:ascii="Times New Roman" w:hAnsi="Times New Roman" w:cs="Times New Roman"/>
          <w:sz w:val="28"/>
          <w:szCs w:val="28"/>
        </w:rPr>
        <w:t xml:space="preserve"> </w:t>
      </w:r>
      <w:r w:rsidRPr="006008C0">
        <w:rPr>
          <w:rFonts w:ascii="Times New Roman" w:hAnsi="Times New Roman" w:cs="Times New Roman"/>
          <w:b/>
          <w:bCs/>
          <w:sz w:val="28"/>
          <w:szCs w:val="28"/>
        </w:rPr>
        <w:t>нормальную жизнедеятельность человека</w:t>
      </w:r>
      <w:r w:rsidR="00681A4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2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F3E" w:rsidRPr="00123F3E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9" w:history="1">
        <w:r w:rsidR="00123F3E" w:rsidRPr="00DD713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23F3E" w:rsidRPr="00DD7134">
        <w:rPr>
          <w:rFonts w:ascii="Times New Roman" w:hAnsi="Times New Roman" w:cs="Times New Roman"/>
          <w:sz w:val="28"/>
          <w:szCs w:val="28"/>
        </w:rPr>
        <w:t> Р</w:t>
      </w:r>
      <w:r w:rsidR="00123F3E" w:rsidRPr="00123F3E">
        <w:rPr>
          <w:rFonts w:ascii="Times New Roman" w:hAnsi="Times New Roman" w:cs="Times New Roman"/>
          <w:sz w:val="28"/>
          <w:szCs w:val="28"/>
        </w:rPr>
        <w:t>еспублики Татарстан от 23 июля 2008 года N 31-ЗРТ "О минимальном потребительском бюджете в Республике Татарстан"</w:t>
      </w:r>
      <w:r w:rsidR="00A51194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123F3E" w:rsidRPr="00123F3E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A51194">
        <w:rPr>
          <w:rFonts w:ascii="Times New Roman" w:hAnsi="Times New Roman" w:cs="Times New Roman"/>
          <w:sz w:val="28"/>
          <w:szCs w:val="28"/>
        </w:rPr>
        <w:t>а</w:t>
      </w:r>
      <w:r w:rsidR="00123F3E" w:rsidRPr="00123F3E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A51194">
        <w:rPr>
          <w:rFonts w:ascii="Times New Roman" w:hAnsi="Times New Roman" w:cs="Times New Roman"/>
          <w:sz w:val="28"/>
          <w:szCs w:val="28"/>
        </w:rPr>
        <w:t xml:space="preserve">№ 314 от 30.04.2018 года </w:t>
      </w:r>
      <w:r w:rsidR="00123F3E" w:rsidRPr="00123F3E">
        <w:rPr>
          <w:rFonts w:ascii="Times New Roman" w:hAnsi="Times New Roman" w:cs="Times New Roman"/>
          <w:sz w:val="28"/>
          <w:szCs w:val="28"/>
        </w:rPr>
        <w:t xml:space="preserve"> стоимостн</w:t>
      </w:r>
      <w:r w:rsidR="00A51194">
        <w:rPr>
          <w:rFonts w:ascii="Times New Roman" w:hAnsi="Times New Roman" w:cs="Times New Roman"/>
          <w:sz w:val="28"/>
          <w:szCs w:val="28"/>
        </w:rPr>
        <w:t>ая</w:t>
      </w:r>
      <w:r w:rsidR="00123F3E" w:rsidRPr="00123F3E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A51194">
        <w:rPr>
          <w:rFonts w:ascii="Times New Roman" w:hAnsi="Times New Roman" w:cs="Times New Roman"/>
          <w:sz w:val="28"/>
          <w:szCs w:val="28"/>
        </w:rPr>
        <w:t>а</w:t>
      </w:r>
      <w:r w:rsidR="00123F3E" w:rsidRPr="00123F3E">
        <w:rPr>
          <w:rFonts w:ascii="Times New Roman" w:hAnsi="Times New Roman" w:cs="Times New Roman"/>
          <w:sz w:val="28"/>
          <w:szCs w:val="28"/>
        </w:rPr>
        <w:t xml:space="preserve"> минимального потребительского бюджета в целом по Республике Татарстан за I квартал 2018 года </w:t>
      </w:r>
      <w:r w:rsidR="00F06D40">
        <w:rPr>
          <w:rFonts w:ascii="Times New Roman" w:hAnsi="Times New Roman" w:cs="Times New Roman"/>
          <w:sz w:val="28"/>
          <w:szCs w:val="28"/>
        </w:rPr>
        <w:t xml:space="preserve"> у</w:t>
      </w:r>
      <w:r w:rsidR="00F06D40" w:rsidRPr="00123F3E">
        <w:rPr>
          <w:rFonts w:ascii="Times New Roman" w:hAnsi="Times New Roman" w:cs="Times New Roman"/>
          <w:sz w:val="28"/>
          <w:szCs w:val="28"/>
        </w:rPr>
        <w:t>твер</w:t>
      </w:r>
      <w:r w:rsidR="00F06D40">
        <w:rPr>
          <w:rFonts w:ascii="Times New Roman" w:hAnsi="Times New Roman" w:cs="Times New Roman"/>
          <w:sz w:val="28"/>
          <w:szCs w:val="28"/>
        </w:rPr>
        <w:t>ждена</w:t>
      </w:r>
      <w:r w:rsidR="00F06D40" w:rsidRPr="00123F3E">
        <w:rPr>
          <w:rFonts w:ascii="Times New Roman" w:hAnsi="Times New Roman" w:cs="Times New Roman"/>
          <w:sz w:val="28"/>
          <w:szCs w:val="28"/>
        </w:rPr>
        <w:t xml:space="preserve"> </w:t>
      </w:r>
      <w:r w:rsidR="00123F3E" w:rsidRPr="00123F3E">
        <w:rPr>
          <w:rFonts w:ascii="Times New Roman" w:hAnsi="Times New Roman" w:cs="Times New Roman"/>
          <w:sz w:val="28"/>
          <w:szCs w:val="28"/>
        </w:rPr>
        <w:t>в размере 14792 рублей.</w:t>
      </w:r>
    </w:p>
    <w:p w:rsidR="006008C0" w:rsidRPr="00C626E5" w:rsidRDefault="006008C0" w:rsidP="002C1BA0">
      <w:pPr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26E5">
        <w:rPr>
          <w:rFonts w:ascii="Times New Roman" w:hAnsi="Times New Roman" w:cs="Times New Roman"/>
          <w:sz w:val="28"/>
          <w:szCs w:val="28"/>
        </w:rPr>
        <w:t>Таким образом, величина МПБ в денежном выражении выше, чем размер ПМ.</w:t>
      </w:r>
    </w:p>
    <w:p w:rsidR="00681A46" w:rsidRDefault="00681A46" w:rsidP="002C1BA0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1A46" w:rsidRDefault="00681A46" w:rsidP="00681A46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981657" w:rsidRDefault="000B7E4F" w:rsidP="002C1BA0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81657">
        <w:rPr>
          <w:rFonts w:ascii="Times New Roman" w:hAnsi="Times New Roman"/>
          <w:sz w:val="28"/>
          <w:szCs w:val="28"/>
        </w:rPr>
        <w:t>Стоимость</w:t>
      </w:r>
    </w:p>
    <w:p w:rsidR="00981657" w:rsidRDefault="000B7E4F" w:rsidP="002C1BA0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81657">
        <w:rPr>
          <w:rFonts w:ascii="Times New Roman" w:hAnsi="Times New Roman"/>
          <w:sz w:val="28"/>
          <w:szCs w:val="28"/>
        </w:rPr>
        <w:t xml:space="preserve">минимального потребительского бюджета по статьям  </w:t>
      </w:r>
    </w:p>
    <w:p w:rsidR="000B7E4F" w:rsidRPr="00981657" w:rsidRDefault="000B7E4F" w:rsidP="002C1BA0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81657">
        <w:rPr>
          <w:rFonts w:ascii="Times New Roman" w:hAnsi="Times New Roman"/>
          <w:sz w:val="28"/>
          <w:szCs w:val="28"/>
        </w:rPr>
        <w:t>по Республике Татарстан</w:t>
      </w:r>
    </w:p>
    <w:p w:rsidR="000B7E4F" w:rsidRPr="00377315" w:rsidRDefault="000B7E4F" w:rsidP="002C1BA0">
      <w:pPr>
        <w:spacing w:after="0" w:line="240" w:lineRule="auto"/>
        <w:ind w:left="284" w:firstLine="709"/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377315">
        <w:rPr>
          <w:rFonts w:ascii="Arial" w:hAnsi="Arial" w:cs="Arial"/>
          <w:sz w:val="18"/>
          <w:szCs w:val="18"/>
        </w:rPr>
        <w:t>рублей</w:t>
      </w:r>
    </w:p>
    <w:tbl>
      <w:tblPr>
        <w:tblW w:w="899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32"/>
        <w:gridCol w:w="896"/>
        <w:gridCol w:w="896"/>
        <w:gridCol w:w="2049"/>
        <w:gridCol w:w="897"/>
        <w:gridCol w:w="1024"/>
        <w:gridCol w:w="897"/>
      </w:tblGrid>
      <w:tr w:rsidR="000B7E4F" w:rsidRPr="00377315" w:rsidTr="00981657">
        <w:trPr>
          <w:trHeight w:val="385"/>
        </w:trPr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:rsidR="000B7E4F" w:rsidRPr="00377315" w:rsidRDefault="000B7E4F" w:rsidP="002C1BA0">
            <w:pPr>
              <w:spacing w:after="0" w:line="240" w:lineRule="auto"/>
              <w:ind w:right="371"/>
              <w:contextualSpacing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18" w:space="0" w:color="auto"/>
            </w:tcBorders>
            <w:vAlign w:val="center"/>
          </w:tcPr>
          <w:p w:rsidR="000B7E4F" w:rsidRPr="00377315" w:rsidRDefault="000B7E4F" w:rsidP="002C1BA0">
            <w:pPr>
              <w:tabs>
                <w:tab w:val="left" w:pos="742"/>
              </w:tabs>
              <w:spacing w:after="0" w:line="240" w:lineRule="auto"/>
              <w:ind w:right="176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Всего</w:t>
            </w:r>
          </w:p>
        </w:tc>
        <w:tc>
          <w:tcPr>
            <w:tcW w:w="5763" w:type="dxa"/>
            <w:gridSpan w:val="5"/>
            <w:tcBorders>
              <w:top w:val="single" w:sz="18" w:space="0" w:color="auto"/>
            </w:tcBorders>
            <w:vAlign w:val="center"/>
          </w:tcPr>
          <w:p w:rsidR="000B7E4F" w:rsidRPr="00377315" w:rsidRDefault="000B7E4F" w:rsidP="002C1BA0">
            <w:pPr>
              <w:spacing w:after="0" w:line="240" w:lineRule="auto"/>
              <w:ind w:right="371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</w:tr>
      <w:tr w:rsidR="000B7E4F" w:rsidRPr="00377315" w:rsidTr="00981657">
        <w:trPr>
          <w:trHeight w:val="385"/>
        </w:trPr>
        <w:tc>
          <w:tcPr>
            <w:tcW w:w="2332" w:type="dxa"/>
            <w:vMerge/>
          </w:tcPr>
          <w:p w:rsidR="000B7E4F" w:rsidRPr="00377315" w:rsidRDefault="000B7E4F" w:rsidP="002C1BA0">
            <w:pPr>
              <w:spacing w:after="0" w:line="240" w:lineRule="auto"/>
              <w:ind w:right="371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vMerge/>
            <w:vAlign w:val="center"/>
          </w:tcPr>
          <w:p w:rsidR="000B7E4F" w:rsidRPr="00377315" w:rsidRDefault="000B7E4F" w:rsidP="002C1BA0">
            <w:pPr>
              <w:spacing w:after="0" w:line="240" w:lineRule="auto"/>
              <w:ind w:right="371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vAlign w:val="center"/>
          </w:tcPr>
          <w:p w:rsidR="000B7E4F" w:rsidRPr="00377315" w:rsidRDefault="000B7E4F" w:rsidP="002C1B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питание</w:t>
            </w:r>
          </w:p>
        </w:tc>
        <w:tc>
          <w:tcPr>
            <w:tcW w:w="2049" w:type="dxa"/>
            <w:vMerge w:val="restart"/>
            <w:vAlign w:val="center"/>
          </w:tcPr>
          <w:p w:rsidR="000B7E4F" w:rsidRPr="00377315" w:rsidRDefault="000B7E4F" w:rsidP="002C1BA0">
            <w:pPr>
              <w:spacing w:after="0" w:line="240" w:lineRule="auto"/>
              <w:ind w:right="33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921" w:type="dxa"/>
            <w:gridSpan w:val="2"/>
            <w:vAlign w:val="center"/>
          </w:tcPr>
          <w:p w:rsidR="000B7E4F" w:rsidRPr="00377315" w:rsidRDefault="000B7E4F" w:rsidP="002C1BA0">
            <w:pPr>
              <w:tabs>
                <w:tab w:val="left" w:pos="1026"/>
              </w:tabs>
              <w:spacing w:after="0" w:line="240" w:lineRule="auto"/>
              <w:ind w:right="175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услуги</w:t>
            </w:r>
          </w:p>
        </w:tc>
        <w:tc>
          <w:tcPr>
            <w:tcW w:w="897" w:type="dxa"/>
            <w:vMerge w:val="restart"/>
            <w:vAlign w:val="center"/>
          </w:tcPr>
          <w:p w:rsidR="000B7E4F" w:rsidRPr="00377315" w:rsidRDefault="000B7E4F" w:rsidP="002C1BA0">
            <w:pPr>
              <w:tabs>
                <w:tab w:val="left" w:pos="1026"/>
              </w:tabs>
              <w:spacing w:after="0" w:line="240" w:lineRule="auto"/>
              <w:ind w:right="175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налоги</w:t>
            </w:r>
          </w:p>
        </w:tc>
      </w:tr>
      <w:tr w:rsidR="000B7E4F" w:rsidRPr="00377315" w:rsidTr="00981657">
        <w:trPr>
          <w:trHeight w:val="385"/>
        </w:trPr>
        <w:tc>
          <w:tcPr>
            <w:tcW w:w="2332" w:type="dxa"/>
            <w:vMerge/>
            <w:tcBorders>
              <w:bottom w:val="single" w:sz="18" w:space="0" w:color="auto"/>
            </w:tcBorders>
          </w:tcPr>
          <w:p w:rsidR="000B7E4F" w:rsidRPr="00377315" w:rsidRDefault="000B7E4F" w:rsidP="002C1BA0">
            <w:pPr>
              <w:spacing w:after="0" w:line="240" w:lineRule="auto"/>
              <w:ind w:right="371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spacing w:after="0" w:line="240" w:lineRule="auto"/>
              <w:ind w:right="371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spacing w:after="0" w:line="240" w:lineRule="auto"/>
              <w:ind w:right="33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tabs>
                <w:tab w:val="left" w:pos="1026"/>
              </w:tabs>
              <w:spacing w:after="0" w:line="240" w:lineRule="auto"/>
              <w:ind w:right="113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всего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tabs>
                <w:tab w:val="left" w:pos="1026"/>
              </w:tabs>
              <w:spacing w:after="0" w:line="240" w:lineRule="auto"/>
              <w:ind w:right="17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15">
              <w:rPr>
                <w:rFonts w:ascii="Arial" w:hAnsi="Arial" w:cs="Arial"/>
                <w:sz w:val="18"/>
                <w:szCs w:val="18"/>
              </w:rPr>
              <w:t>из них:</w:t>
            </w:r>
          </w:p>
          <w:p w:rsidR="000B7E4F" w:rsidRPr="00377315" w:rsidRDefault="000B7E4F" w:rsidP="002C1BA0">
            <w:pPr>
              <w:tabs>
                <w:tab w:val="left" w:pos="1026"/>
              </w:tabs>
              <w:spacing w:after="0" w:line="240" w:lineRule="auto"/>
              <w:ind w:right="175"/>
              <w:contextualSpacing/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услуги ЖКХ</w:t>
            </w:r>
          </w:p>
        </w:tc>
        <w:tc>
          <w:tcPr>
            <w:tcW w:w="897" w:type="dxa"/>
            <w:vMerge/>
            <w:tcBorders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tabs>
                <w:tab w:val="left" w:pos="1026"/>
              </w:tabs>
              <w:spacing w:after="0" w:line="240" w:lineRule="auto"/>
              <w:ind w:right="175"/>
              <w:contextualSpacing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B7E4F" w:rsidRPr="00377315" w:rsidTr="00981657">
        <w:trPr>
          <w:trHeight w:val="71"/>
        </w:trPr>
        <w:tc>
          <w:tcPr>
            <w:tcW w:w="2332" w:type="dxa"/>
            <w:tcBorders>
              <w:top w:val="single" w:sz="18" w:space="0" w:color="auto"/>
              <w:bottom w:val="nil"/>
            </w:tcBorders>
            <w:vAlign w:val="center"/>
          </w:tcPr>
          <w:p w:rsidR="000B7E4F" w:rsidRPr="00377315" w:rsidRDefault="000B7E4F" w:rsidP="002C1BA0">
            <w:pPr>
              <w:spacing w:before="20" w:after="0" w:line="252" w:lineRule="auto"/>
              <w:contextualSpacing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>квартал</w:t>
            </w:r>
            <w:proofErr w:type="spellEnd"/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2018г. </w:t>
            </w:r>
          </w:p>
        </w:tc>
        <w:tc>
          <w:tcPr>
            <w:tcW w:w="896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377315" w:rsidRDefault="000B7E4F" w:rsidP="002C1BA0">
            <w:pPr>
              <w:widowControl w:val="0"/>
              <w:spacing w:after="0" w:line="252" w:lineRule="auto"/>
              <w:contextualSpacing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</w:rPr>
              <w:t>14792</w:t>
            </w:r>
          </w:p>
        </w:tc>
        <w:tc>
          <w:tcPr>
            <w:tcW w:w="896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315">
              <w:rPr>
                <w:rFonts w:ascii="Arial" w:hAnsi="Arial" w:cs="Arial"/>
                <w:bCs/>
                <w:sz w:val="18"/>
                <w:szCs w:val="18"/>
              </w:rPr>
              <w:t>4917</w:t>
            </w:r>
          </w:p>
        </w:tc>
        <w:tc>
          <w:tcPr>
            <w:tcW w:w="2049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315">
              <w:rPr>
                <w:rFonts w:ascii="Arial" w:hAnsi="Arial" w:cs="Arial"/>
                <w:bCs/>
                <w:sz w:val="18"/>
                <w:szCs w:val="18"/>
              </w:rPr>
              <w:t>3571</w:t>
            </w:r>
          </w:p>
        </w:tc>
        <w:tc>
          <w:tcPr>
            <w:tcW w:w="897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5376</w:t>
            </w:r>
          </w:p>
        </w:tc>
        <w:tc>
          <w:tcPr>
            <w:tcW w:w="1024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897" w:type="dxa"/>
            <w:tcBorders>
              <w:top w:val="single" w:sz="18" w:space="0" w:color="auto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928</w:t>
            </w:r>
          </w:p>
        </w:tc>
      </w:tr>
      <w:tr w:rsidR="000B7E4F" w:rsidRPr="00377315" w:rsidTr="00981657">
        <w:trPr>
          <w:trHeight w:val="84"/>
        </w:trPr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0B7E4F" w:rsidRPr="00377315" w:rsidRDefault="000B7E4F" w:rsidP="002C1BA0">
            <w:pPr>
              <w:spacing w:before="20" w:after="0" w:line="252" w:lineRule="auto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Удельный вес к </w:t>
            </w:r>
            <w:proofErr w:type="spellStart"/>
            <w:r w:rsidRPr="00377315">
              <w:rPr>
                <w:rFonts w:ascii="Arial" w:hAnsi="Arial" w:cs="Arial"/>
                <w:i/>
                <w:snapToGrid w:val="0"/>
                <w:sz w:val="18"/>
                <w:szCs w:val="18"/>
              </w:rPr>
              <w:t>итогу,%</w:t>
            </w:r>
            <w:proofErr w:type="spellEnd"/>
          </w:p>
        </w:tc>
        <w:tc>
          <w:tcPr>
            <w:tcW w:w="896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2049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97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i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97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</w:tr>
      <w:tr w:rsidR="000B7E4F" w:rsidRPr="00377315" w:rsidTr="00981657">
        <w:trPr>
          <w:trHeight w:val="84"/>
        </w:trPr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0B7E4F" w:rsidRPr="00377315" w:rsidRDefault="000B7E4F" w:rsidP="002C1BA0">
            <w:pPr>
              <w:spacing w:before="20" w:after="0" w:line="252" w:lineRule="auto"/>
              <w:contextualSpacing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proofErr w:type="spellStart"/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</w:rPr>
              <w:t>Справочно</w:t>
            </w:r>
            <w:proofErr w:type="spellEnd"/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7E4F" w:rsidRPr="00377315" w:rsidTr="00981657">
        <w:trPr>
          <w:trHeight w:val="88"/>
        </w:trPr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0B7E4F" w:rsidRPr="00377315" w:rsidRDefault="000B7E4F" w:rsidP="002C1BA0">
            <w:pPr>
              <w:spacing w:before="20" w:after="0" w:line="252" w:lineRule="auto"/>
              <w:contextualSpacing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>квартал</w:t>
            </w:r>
            <w:proofErr w:type="spellEnd"/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377315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2017г. 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widowControl w:val="0"/>
              <w:spacing w:after="0" w:line="252" w:lineRule="auto"/>
              <w:contextualSpacing/>
              <w:jc w:val="righ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14276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bCs/>
                <w:sz w:val="18"/>
                <w:szCs w:val="18"/>
                <w:lang w:val="en-US"/>
              </w:rPr>
              <w:t>4836</w:t>
            </w:r>
          </w:p>
        </w:tc>
        <w:tc>
          <w:tcPr>
            <w:tcW w:w="2049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bCs/>
                <w:sz w:val="18"/>
                <w:szCs w:val="18"/>
                <w:lang w:val="en-US"/>
              </w:rPr>
              <w:t>3387</w:t>
            </w:r>
          </w:p>
        </w:tc>
        <w:tc>
          <w:tcPr>
            <w:tcW w:w="897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5152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1558</w:t>
            </w:r>
          </w:p>
        </w:tc>
        <w:tc>
          <w:tcPr>
            <w:tcW w:w="897" w:type="dxa"/>
            <w:tcBorders>
              <w:top w:val="nil"/>
              <w:bottom w:val="nil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901</w:t>
            </w:r>
          </w:p>
        </w:tc>
      </w:tr>
      <w:tr w:rsidR="000B7E4F" w:rsidRPr="00377315" w:rsidTr="00981657">
        <w:trPr>
          <w:trHeight w:val="84"/>
        </w:trPr>
        <w:tc>
          <w:tcPr>
            <w:tcW w:w="2332" w:type="dxa"/>
            <w:tcBorders>
              <w:top w:val="nil"/>
              <w:bottom w:val="single" w:sz="18" w:space="0" w:color="auto"/>
            </w:tcBorders>
            <w:vAlign w:val="center"/>
          </w:tcPr>
          <w:p w:rsidR="000B7E4F" w:rsidRPr="00377315" w:rsidRDefault="000B7E4F" w:rsidP="002C1BA0">
            <w:pPr>
              <w:spacing w:before="20" w:after="0" w:line="252" w:lineRule="auto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77315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Удельный вес к </w:t>
            </w:r>
            <w:proofErr w:type="spellStart"/>
            <w:r w:rsidRPr="00377315">
              <w:rPr>
                <w:rFonts w:ascii="Arial" w:hAnsi="Arial" w:cs="Arial"/>
                <w:i/>
                <w:snapToGrid w:val="0"/>
                <w:sz w:val="18"/>
                <w:szCs w:val="18"/>
              </w:rPr>
              <w:t>итогу,%</w:t>
            </w:r>
            <w:proofErr w:type="spellEnd"/>
          </w:p>
        </w:tc>
        <w:tc>
          <w:tcPr>
            <w:tcW w:w="896" w:type="dxa"/>
            <w:tcBorders>
              <w:top w:val="nil"/>
              <w:bottom w:val="single" w:sz="18" w:space="0" w:color="auto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bottom w:val="single" w:sz="18" w:space="0" w:color="auto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049" w:type="dxa"/>
            <w:tcBorders>
              <w:top w:val="nil"/>
              <w:bottom w:val="single" w:sz="18" w:space="0" w:color="auto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97" w:type="dxa"/>
            <w:tcBorders>
              <w:top w:val="nil"/>
              <w:bottom w:val="single" w:sz="18" w:space="0" w:color="auto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nil"/>
              <w:bottom w:val="single" w:sz="18" w:space="0" w:color="auto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10</w:t>
            </w:r>
            <w:r w:rsidRPr="00377315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  <w:r w:rsidRPr="0037731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97" w:type="dxa"/>
            <w:tcBorders>
              <w:top w:val="nil"/>
              <w:bottom w:val="single" w:sz="18" w:space="0" w:color="auto"/>
            </w:tcBorders>
            <w:vAlign w:val="bottom"/>
          </w:tcPr>
          <w:p w:rsidR="000B7E4F" w:rsidRPr="00377315" w:rsidRDefault="000B7E4F" w:rsidP="002C1BA0">
            <w:pPr>
              <w:spacing w:after="0" w:line="252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773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</w:tbl>
    <w:p w:rsidR="00681A46" w:rsidRDefault="00681A46" w:rsidP="00681A4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81A46" w:rsidRDefault="00681A46" w:rsidP="00681A4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81A46" w:rsidRPr="008533D7" w:rsidRDefault="00681A46" w:rsidP="00681A46">
      <w:pPr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на рисунке 2 в составе МПБ наибольшие доли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питание и услуги, причем в отчетном периоде имело место увеличение расходов на питание, снижение расходов на непродовольственные товары, что связано с ростом цен и снижением доходов населения.</w:t>
      </w:r>
    </w:p>
    <w:p w:rsidR="00735925" w:rsidRDefault="00735925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06D40" w:rsidRPr="008533D7" w:rsidRDefault="00F06D40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81A46" w:rsidRDefault="00681A46" w:rsidP="002C1BA0">
      <w:pPr>
        <w:tabs>
          <w:tab w:val="num" w:pos="-2808"/>
          <w:tab w:val="right" w:pos="9355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1A46" w:rsidRDefault="00681A46" w:rsidP="002C1BA0">
      <w:pPr>
        <w:tabs>
          <w:tab w:val="num" w:pos="-2808"/>
          <w:tab w:val="right" w:pos="9355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1A46" w:rsidRPr="00681A46" w:rsidRDefault="00681A46" w:rsidP="00681A46">
      <w:pPr>
        <w:tabs>
          <w:tab w:val="num" w:pos="-2808"/>
          <w:tab w:val="right" w:pos="9355"/>
        </w:tabs>
        <w:spacing w:after="0" w:line="240" w:lineRule="auto"/>
        <w:ind w:left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681A46">
        <w:rPr>
          <w:rFonts w:ascii="Times New Roman" w:hAnsi="Times New Roman"/>
          <w:bCs/>
          <w:sz w:val="28"/>
          <w:szCs w:val="28"/>
        </w:rPr>
        <w:lastRenderedPageBreak/>
        <w:t>Рисунок 2</w:t>
      </w:r>
    </w:p>
    <w:p w:rsidR="00681A46" w:rsidRPr="00681A46" w:rsidRDefault="000B7E4F" w:rsidP="002C1BA0">
      <w:pPr>
        <w:tabs>
          <w:tab w:val="num" w:pos="-2808"/>
          <w:tab w:val="right" w:pos="9355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81A46">
        <w:rPr>
          <w:rFonts w:ascii="Times New Roman" w:hAnsi="Times New Roman"/>
          <w:bCs/>
          <w:sz w:val="28"/>
          <w:szCs w:val="28"/>
        </w:rPr>
        <w:t xml:space="preserve">Структура </w:t>
      </w:r>
    </w:p>
    <w:p w:rsidR="000B7E4F" w:rsidRPr="00681A46" w:rsidRDefault="000B7E4F" w:rsidP="002C1BA0">
      <w:pPr>
        <w:tabs>
          <w:tab w:val="num" w:pos="-2808"/>
          <w:tab w:val="right" w:pos="9355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81A46">
        <w:rPr>
          <w:rFonts w:ascii="Times New Roman" w:hAnsi="Times New Roman"/>
          <w:bCs/>
          <w:sz w:val="28"/>
          <w:szCs w:val="28"/>
        </w:rPr>
        <w:t>стоимости минимального потребительского бюджета</w:t>
      </w:r>
    </w:p>
    <w:p w:rsidR="000B7E4F" w:rsidRPr="00681A46" w:rsidRDefault="000B7E4F" w:rsidP="002C1BA0">
      <w:pPr>
        <w:tabs>
          <w:tab w:val="num" w:pos="-2808"/>
          <w:tab w:val="right" w:pos="9355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81A46">
        <w:rPr>
          <w:rFonts w:ascii="Times New Roman" w:hAnsi="Times New Roman"/>
          <w:bCs/>
          <w:sz w:val="28"/>
          <w:szCs w:val="28"/>
        </w:rPr>
        <w:t>на члена типовой семьи (в процентах к итогу)</w:t>
      </w:r>
    </w:p>
    <w:p w:rsidR="000B7E4F" w:rsidRPr="008226C3" w:rsidRDefault="000B7E4F" w:rsidP="002C1BA0">
      <w:pPr>
        <w:spacing w:after="0" w:line="240" w:lineRule="auto"/>
        <w:ind w:left="142" w:firstLine="425"/>
        <w:contextualSpacing/>
        <w:jc w:val="both"/>
        <w:rPr>
          <w:rFonts w:ascii="Times New Roman" w:hAnsi="Times New Roman"/>
          <w:b/>
          <w:i/>
          <w:sz w:val="10"/>
          <w:szCs w:val="15"/>
        </w:rPr>
      </w:pPr>
    </w:p>
    <w:p w:rsidR="000B7E4F" w:rsidRPr="008226C3" w:rsidRDefault="000B7E4F" w:rsidP="002C1BA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8226C3">
        <w:rPr>
          <w:rFonts w:ascii="Times New Roman" w:hAnsi="Times New Roman"/>
          <w:b/>
          <w:i/>
          <w:szCs w:val="24"/>
          <w:lang w:val="en-US"/>
        </w:rPr>
        <w:t>I</w:t>
      </w:r>
      <w:r w:rsidRPr="008226C3">
        <w:rPr>
          <w:rFonts w:ascii="Times New Roman" w:hAnsi="Times New Roman"/>
          <w:b/>
          <w:i/>
          <w:szCs w:val="24"/>
        </w:rPr>
        <w:t xml:space="preserve"> квартал 2018г.</w:t>
      </w:r>
      <w:proofErr w:type="gramEnd"/>
      <w:r w:rsidRPr="008226C3">
        <w:rPr>
          <w:rFonts w:ascii="Times New Roman" w:hAnsi="Times New Roman"/>
          <w:b/>
          <w:i/>
          <w:szCs w:val="24"/>
        </w:rPr>
        <w:t xml:space="preserve">                                                        </w:t>
      </w:r>
      <w:proofErr w:type="gramStart"/>
      <w:r w:rsidRPr="008226C3">
        <w:rPr>
          <w:rFonts w:ascii="Times New Roman" w:hAnsi="Times New Roman"/>
          <w:b/>
          <w:i/>
          <w:szCs w:val="24"/>
          <w:lang w:val="en-US"/>
        </w:rPr>
        <w:t>I</w:t>
      </w:r>
      <w:r w:rsidRPr="008226C3">
        <w:rPr>
          <w:rFonts w:ascii="Times New Roman" w:hAnsi="Times New Roman"/>
          <w:b/>
          <w:i/>
          <w:szCs w:val="24"/>
        </w:rPr>
        <w:t xml:space="preserve"> квартал 2017г.</w:t>
      </w:r>
      <w:proofErr w:type="gramEnd"/>
    </w:p>
    <w:p w:rsidR="000B7E4F" w:rsidRPr="008226C3" w:rsidRDefault="000B7E4F" w:rsidP="002C1BA0">
      <w:pPr>
        <w:spacing w:after="0" w:line="240" w:lineRule="auto"/>
        <w:contextualSpacing/>
        <w:rPr>
          <w:rFonts w:ascii="Times New Roman" w:hAnsi="Times New Roman"/>
          <w:b/>
          <w:i/>
          <w:sz w:val="14"/>
          <w:szCs w:val="24"/>
        </w:rPr>
      </w:pPr>
    </w:p>
    <w:p w:rsidR="000B7E4F" w:rsidRPr="008226C3" w:rsidRDefault="000B7E4F" w:rsidP="002C1BA0">
      <w:pPr>
        <w:spacing w:after="0" w:line="240" w:lineRule="auto"/>
        <w:contextualSpacing/>
        <w:rPr>
          <w:rFonts w:ascii="Times New Roman" w:hAnsi="Times New Roman"/>
          <w:b/>
          <w:i/>
          <w:sz w:val="10"/>
          <w:szCs w:val="24"/>
        </w:rPr>
      </w:pPr>
    </w:p>
    <w:p w:rsidR="000B7E4F" w:rsidRPr="008226C3" w:rsidRDefault="000B7E4F" w:rsidP="002C1BA0">
      <w:pPr>
        <w:spacing w:after="0" w:line="240" w:lineRule="auto"/>
        <w:contextualSpacing/>
        <w:rPr>
          <w:rFonts w:ascii="Times New Roman" w:hAnsi="Times New Roman"/>
          <w:b/>
          <w:i/>
          <w:szCs w:val="24"/>
        </w:rPr>
      </w:pPr>
      <w:r w:rsidRPr="008226C3">
        <w:rPr>
          <w:rFonts w:ascii="Times New Roman" w:hAnsi="Times New Roman"/>
          <w:b/>
          <w:i/>
          <w:noProof/>
          <w:szCs w:val="24"/>
          <w:lang w:eastAsia="ru-RU"/>
        </w:rPr>
        <w:drawing>
          <wp:inline distT="0" distB="0" distL="0" distR="0">
            <wp:extent cx="2781300" cy="26955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8226C3">
        <w:rPr>
          <w:rFonts w:ascii="Times New Roman" w:hAnsi="Times New Roman"/>
          <w:b/>
          <w:i/>
          <w:noProof/>
          <w:szCs w:val="24"/>
          <w:lang w:eastAsia="ru-RU"/>
        </w:rPr>
        <w:drawing>
          <wp:inline distT="0" distB="0" distL="0" distR="0">
            <wp:extent cx="2838450" cy="26955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5925" w:rsidRDefault="00735925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81A46" w:rsidRDefault="00681A46" w:rsidP="00C30FFF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Максимальный </w:t>
      </w:r>
      <w:r w:rsidR="00F81865">
        <w:rPr>
          <w:rFonts w:ascii="Times New Roman" w:hAnsi="Times New Roman" w:cs="Times New Roman"/>
          <w:sz w:val="28"/>
          <w:szCs w:val="28"/>
        </w:rPr>
        <w:t xml:space="preserve">рост потребительских цен в 1 квартале 2018 года  (таблица 3) зафиксирован на 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81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– высшего 107,7%, среднего -106,2%, медицинские услуги  </w:t>
      </w:r>
      <w:r w:rsidR="00F818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105,3%, </w:t>
      </w:r>
      <w:r w:rsidR="00C30FFF">
        <w:rPr>
          <w:rFonts w:ascii="Times New Roman" w:hAnsi="Times New Roman" w:cs="Times New Roman"/>
          <w:sz w:val="28"/>
          <w:szCs w:val="28"/>
        </w:rPr>
        <w:t xml:space="preserve">услуги дошкольного воспитания -103,2%,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жилищно-коммунальные </w:t>
      </w:r>
      <w:r w:rsidR="00F818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103%</w:t>
      </w:r>
      <w:r w:rsidR="00C30FFF">
        <w:rPr>
          <w:rFonts w:ascii="Times New Roman" w:hAnsi="Times New Roman" w:cs="Times New Roman"/>
          <w:sz w:val="28"/>
          <w:szCs w:val="28"/>
        </w:rPr>
        <w:t>, все эти услуги являются первоочередными и жизненно необходимыми для населения.</w:t>
      </w:r>
    </w:p>
    <w:p w:rsidR="00681A46" w:rsidRDefault="00681A46" w:rsidP="00681A46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681A46" w:rsidRPr="008533D7" w:rsidRDefault="00681A46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81A46" w:rsidRDefault="00AA53F5" w:rsidP="002C1BA0">
      <w:pPr>
        <w:tabs>
          <w:tab w:val="right" w:pos="9355"/>
        </w:tabs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3F5">
        <w:rPr>
          <w:rFonts w:ascii="Times New Roman" w:hAnsi="Times New Roman" w:cs="Times New Roman"/>
          <w:bCs/>
          <w:sz w:val="28"/>
          <w:szCs w:val="28"/>
        </w:rPr>
        <w:t xml:space="preserve">Изменение </w:t>
      </w:r>
    </w:p>
    <w:p w:rsidR="00AA53F5" w:rsidRDefault="00AA53F5" w:rsidP="002C1BA0">
      <w:pPr>
        <w:tabs>
          <w:tab w:val="right" w:pos="9355"/>
        </w:tabs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3F5">
        <w:rPr>
          <w:rFonts w:ascii="Times New Roman" w:hAnsi="Times New Roman" w:cs="Times New Roman"/>
          <w:bCs/>
          <w:sz w:val="28"/>
          <w:szCs w:val="28"/>
        </w:rPr>
        <w:t>индекса потребительских цен в апреле 2018г.</w:t>
      </w:r>
    </w:p>
    <w:p w:rsidR="00681A46" w:rsidRPr="00AA53F5" w:rsidRDefault="00681A46" w:rsidP="002C1BA0">
      <w:pPr>
        <w:tabs>
          <w:tab w:val="right" w:pos="9355"/>
        </w:tabs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965" w:type="pct"/>
        <w:tblCellMar>
          <w:left w:w="71" w:type="dxa"/>
          <w:right w:w="71" w:type="dxa"/>
        </w:tblCellMar>
        <w:tblLook w:val="04A0"/>
      </w:tblPr>
      <w:tblGrid>
        <w:gridCol w:w="4580"/>
        <w:gridCol w:w="1618"/>
        <w:gridCol w:w="1618"/>
        <w:gridCol w:w="1615"/>
      </w:tblGrid>
      <w:tr w:rsidR="00AA53F5" w:rsidRPr="00E42209" w:rsidTr="0031201A">
        <w:trPr>
          <w:cantSplit/>
          <w:trHeight w:val="318"/>
        </w:trPr>
        <w:tc>
          <w:tcPr>
            <w:tcW w:w="2428" w:type="pct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AA53F5" w:rsidRPr="00E42209" w:rsidRDefault="00AA53F5" w:rsidP="002C1BA0">
            <w:pPr>
              <w:tabs>
                <w:tab w:val="left" w:pos="142"/>
                <w:tab w:val="left" w:pos="7260"/>
                <w:tab w:val="left" w:pos="893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5" w:rsidRPr="00E42209" w:rsidRDefault="00AA53F5" w:rsidP="002C1BA0">
            <w:pPr>
              <w:tabs>
                <w:tab w:val="left" w:pos="142"/>
                <w:tab w:val="left" w:pos="7260"/>
                <w:tab w:val="left" w:pos="8931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Апрель 2018</w:t>
            </w:r>
            <w:r w:rsidRPr="00E42209">
              <w:rPr>
                <w:rFonts w:ascii="Arial" w:hAnsi="Arial" w:cs="Arial"/>
                <w:sz w:val="18"/>
                <w:szCs w:val="18"/>
              </w:rPr>
              <w:t xml:space="preserve">г. </w:t>
            </w:r>
            <w:proofErr w:type="gramStart"/>
            <w:r w:rsidRPr="00E42209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E42209">
              <w:rPr>
                <w:rFonts w:ascii="Arial" w:hAnsi="Arial" w:cs="Arial"/>
                <w:sz w:val="18"/>
                <w:szCs w:val="18"/>
              </w:rPr>
              <w:t xml:space="preserve"> % к</w:t>
            </w:r>
          </w:p>
        </w:tc>
      </w:tr>
      <w:tr w:rsidR="00AA53F5" w:rsidRPr="00E42209" w:rsidTr="0031201A">
        <w:trPr>
          <w:cantSplit/>
        </w:trPr>
        <w:tc>
          <w:tcPr>
            <w:tcW w:w="2428" w:type="pct"/>
            <w:tcBorders>
              <w:top w:val="nil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AA53F5" w:rsidRPr="00E42209" w:rsidRDefault="00AA53F5" w:rsidP="002C1BA0">
            <w:pPr>
              <w:tabs>
                <w:tab w:val="left" w:pos="142"/>
                <w:tab w:val="left" w:pos="893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марту 2018</w:t>
            </w:r>
            <w:r w:rsidRPr="00E42209">
              <w:rPr>
                <w:rFonts w:ascii="Arial" w:hAnsi="Arial" w:cs="Arial"/>
                <w:sz w:val="18"/>
                <w:szCs w:val="18"/>
              </w:rPr>
              <w:t>г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дека</w:t>
            </w:r>
            <w:r w:rsidRPr="00E42209">
              <w:rPr>
                <w:rFonts w:ascii="Arial" w:hAnsi="Arial" w:cs="Arial"/>
                <w:sz w:val="18"/>
                <w:szCs w:val="18"/>
              </w:rPr>
              <w:t>брю 2017г.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53F5" w:rsidRPr="00E42209" w:rsidRDefault="00AA53F5" w:rsidP="002C1BA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апрелю 2017г.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  <w:tab w:val="left" w:pos="8931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22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потребительских цен</w:t>
            </w:r>
          </w:p>
        </w:tc>
        <w:tc>
          <w:tcPr>
            <w:tcW w:w="858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E42209">
              <w:rPr>
                <w:rFonts w:ascii="Arial" w:hAnsi="Arial" w:cs="Arial"/>
                <w:sz w:val="18"/>
                <w:szCs w:val="18"/>
              </w:rPr>
              <w:t xml:space="preserve">Базовый индекс потребительских цен </w:t>
            </w:r>
            <w:r w:rsidRPr="00E4220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ind w:firstLine="21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ind w:firstLine="21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Продовольственные товары</w:t>
            </w:r>
          </w:p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ind w:firstLine="21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( без плодоовощной продукции)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ind w:firstLine="21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ind w:firstLine="21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 xml:space="preserve">  в том числе: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53F5" w:rsidRPr="00A147B4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A147B4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A147B4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бытовые 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пассажирского транспорта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связи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жилищно-коммунальные 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дошкольного воспитания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lastRenderedPageBreak/>
              <w:t>услуги образования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 xml:space="preserve">  из них: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53F5" w:rsidRPr="00A147B4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A147B4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A147B4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-2127"/>
              </w:tabs>
              <w:spacing w:after="0" w:line="240" w:lineRule="auto"/>
              <w:ind w:left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среднего образования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-2127"/>
              </w:tabs>
              <w:spacing w:after="0" w:line="240" w:lineRule="auto"/>
              <w:ind w:left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профессионального обучения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-2127"/>
              </w:tabs>
              <w:spacing w:after="0" w:line="240" w:lineRule="auto"/>
              <w:ind w:left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высшего образования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организаций культуры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санаторно-оздоровительные 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медицинские 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ветеринарные 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правового характера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банков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страхования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физической культуры и спорта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посреднические и прочие услуги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A53F5" w:rsidRPr="00E42209" w:rsidTr="0031201A">
        <w:trPr>
          <w:cantSplit/>
          <w:trHeight w:val="283"/>
        </w:trPr>
        <w:tc>
          <w:tcPr>
            <w:tcW w:w="2428" w:type="pct"/>
            <w:tcBorders>
              <w:top w:val="nil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:rsidR="00AA53F5" w:rsidRPr="00E42209" w:rsidRDefault="00AA53F5" w:rsidP="002C1BA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2209">
              <w:rPr>
                <w:rFonts w:ascii="Arial" w:hAnsi="Arial" w:cs="Arial"/>
                <w:sz w:val="18"/>
                <w:szCs w:val="18"/>
              </w:rPr>
              <w:t>услуги в сфере туризма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AA53F5" w:rsidRPr="00C57260" w:rsidRDefault="00AA53F5" w:rsidP="002C1BA0">
            <w:pPr>
              <w:spacing w:after="0"/>
              <w:ind w:right="380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A147B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72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735925" w:rsidRPr="008533D7" w:rsidRDefault="00735925" w:rsidP="002C1BA0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A73AF" w:rsidRDefault="001A73AF" w:rsidP="00681A4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крупных и средних предприятиях </w:t>
      </w:r>
      <w:r w:rsidR="00735925" w:rsidRPr="008533D7">
        <w:rPr>
          <w:rFonts w:ascii="Times New Roman" w:hAnsi="Times New Roman" w:cs="Times New Roman"/>
          <w:sz w:val="28"/>
          <w:szCs w:val="28"/>
        </w:rPr>
        <w:t>заработн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35925" w:rsidRPr="008533D7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5925" w:rsidRPr="008533D7">
        <w:rPr>
          <w:rFonts w:ascii="Times New Roman" w:hAnsi="Times New Roman" w:cs="Times New Roman"/>
          <w:sz w:val="28"/>
          <w:szCs w:val="28"/>
        </w:rPr>
        <w:t xml:space="preserve"> за последние шесть лет </w:t>
      </w:r>
      <w:r>
        <w:rPr>
          <w:rFonts w:ascii="Times New Roman" w:hAnsi="Times New Roman" w:cs="Times New Roman"/>
          <w:sz w:val="28"/>
          <w:szCs w:val="28"/>
        </w:rPr>
        <w:t xml:space="preserve">растет с </w:t>
      </w:r>
      <w:r w:rsidR="00735925" w:rsidRPr="008533D7">
        <w:rPr>
          <w:rFonts w:ascii="Times New Roman" w:hAnsi="Times New Roman" w:cs="Times New Roman"/>
          <w:sz w:val="28"/>
          <w:szCs w:val="28"/>
        </w:rPr>
        <w:t>опереж</w:t>
      </w:r>
      <w:r w:rsidR="00981657">
        <w:rPr>
          <w:rFonts w:ascii="Times New Roman" w:hAnsi="Times New Roman" w:cs="Times New Roman"/>
          <w:sz w:val="28"/>
          <w:szCs w:val="28"/>
        </w:rPr>
        <w:t>ение</w:t>
      </w:r>
      <w:r w:rsidR="00735925" w:rsidRPr="008533D7">
        <w:rPr>
          <w:rFonts w:ascii="Times New Roman" w:hAnsi="Times New Roman" w:cs="Times New Roman"/>
          <w:sz w:val="28"/>
          <w:szCs w:val="28"/>
        </w:rPr>
        <w:t xml:space="preserve"> рост</w:t>
      </w:r>
      <w:r w:rsidR="00981657">
        <w:rPr>
          <w:rFonts w:ascii="Times New Roman" w:hAnsi="Times New Roman" w:cs="Times New Roman"/>
          <w:sz w:val="28"/>
          <w:szCs w:val="28"/>
        </w:rPr>
        <w:t>а</w:t>
      </w:r>
      <w:r w:rsidR="00735925" w:rsidRPr="008533D7">
        <w:rPr>
          <w:rFonts w:ascii="Times New Roman" w:hAnsi="Times New Roman" w:cs="Times New Roman"/>
          <w:sz w:val="28"/>
          <w:szCs w:val="28"/>
        </w:rPr>
        <w:t xml:space="preserve"> МПБ.</w:t>
      </w:r>
      <w:r w:rsidR="009816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1657">
        <w:rPr>
          <w:rFonts w:ascii="Times New Roman" w:hAnsi="Times New Roman" w:cs="Times New Roman"/>
          <w:sz w:val="28"/>
          <w:szCs w:val="28"/>
        </w:rPr>
        <w:t>Но это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81657">
        <w:rPr>
          <w:rFonts w:ascii="Times New Roman" w:hAnsi="Times New Roman" w:cs="Times New Roman"/>
          <w:sz w:val="28"/>
          <w:szCs w:val="28"/>
        </w:rPr>
        <w:t xml:space="preserve"> </w:t>
      </w:r>
      <w:r w:rsidR="00C30FFF">
        <w:rPr>
          <w:rFonts w:ascii="Times New Roman" w:hAnsi="Times New Roman" w:cs="Times New Roman"/>
          <w:sz w:val="28"/>
          <w:szCs w:val="28"/>
        </w:rPr>
        <w:t xml:space="preserve">11977 человек или у     </w:t>
      </w:r>
      <w:r w:rsidR="007477B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% работающих  </w:t>
      </w:r>
      <w:r w:rsidR="00DD7134">
        <w:rPr>
          <w:rFonts w:ascii="Times New Roman" w:hAnsi="Times New Roman" w:cs="Times New Roman"/>
          <w:sz w:val="28"/>
          <w:szCs w:val="28"/>
        </w:rPr>
        <w:t xml:space="preserve">(при </w:t>
      </w:r>
      <w:r w:rsidR="00981657">
        <w:rPr>
          <w:rFonts w:ascii="Times New Roman" w:hAnsi="Times New Roman" w:cs="Times New Roman"/>
          <w:sz w:val="28"/>
          <w:szCs w:val="28"/>
        </w:rPr>
        <w:t>общ</w:t>
      </w:r>
      <w:r w:rsidR="00DD7134">
        <w:rPr>
          <w:rFonts w:ascii="Times New Roman" w:hAnsi="Times New Roman" w:cs="Times New Roman"/>
          <w:sz w:val="28"/>
          <w:szCs w:val="28"/>
        </w:rPr>
        <w:t>ей</w:t>
      </w:r>
      <w:r w:rsidR="00981657">
        <w:rPr>
          <w:rFonts w:ascii="Times New Roman" w:hAnsi="Times New Roman" w:cs="Times New Roman"/>
          <w:sz w:val="28"/>
          <w:szCs w:val="28"/>
        </w:rPr>
        <w:t xml:space="preserve"> численность занятых в </w:t>
      </w:r>
      <w:proofErr w:type="spellStart"/>
      <w:r w:rsidR="00981657">
        <w:rPr>
          <w:rFonts w:ascii="Times New Roman" w:hAnsi="Times New Roman" w:cs="Times New Roman"/>
          <w:sz w:val="28"/>
          <w:szCs w:val="28"/>
        </w:rPr>
        <w:t>Тукаевском</w:t>
      </w:r>
      <w:proofErr w:type="spellEnd"/>
      <w:r w:rsidR="00981657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5667FC">
        <w:rPr>
          <w:rFonts w:ascii="Times New Roman" w:hAnsi="Times New Roman" w:cs="Times New Roman"/>
          <w:sz w:val="28"/>
          <w:szCs w:val="28"/>
        </w:rPr>
        <w:t>альном районе 2</w:t>
      </w:r>
      <w:r w:rsidR="007477B3">
        <w:rPr>
          <w:rFonts w:ascii="Times New Roman" w:hAnsi="Times New Roman" w:cs="Times New Roman"/>
          <w:sz w:val="28"/>
          <w:szCs w:val="28"/>
        </w:rPr>
        <w:t>2,1</w:t>
      </w:r>
      <w:r w:rsidR="005667FC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="00986D1A">
        <w:rPr>
          <w:rFonts w:ascii="Times New Roman" w:hAnsi="Times New Roman" w:cs="Times New Roman"/>
          <w:sz w:val="28"/>
          <w:szCs w:val="28"/>
        </w:rPr>
        <w:t>, рисунок 3)</w:t>
      </w:r>
      <w:r w:rsidR="005667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86D1A" w:rsidRPr="005667FC" w:rsidRDefault="00986D1A" w:rsidP="00986D1A">
      <w:pPr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</w:p>
    <w:p w:rsidR="00986D1A" w:rsidRDefault="00986D1A" w:rsidP="00681A4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6D1A" w:rsidRDefault="00986D1A" w:rsidP="00681A4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D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72000" cy="34290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6D1A" w:rsidRDefault="00986D1A" w:rsidP="00681A4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8C8" w:rsidRDefault="00DD7134" w:rsidP="00681A46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6D1A">
        <w:rPr>
          <w:rFonts w:ascii="Times New Roman" w:hAnsi="Times New Roman" w:cs="Times New Roman"/>
          <w:sz w:val="28"/>
          <w:szCs w:val="28"/>
        </w:rPr>
        <w:t xml:space="preserve">у </w:t>
      </w:r>
      <w:r w:rsidR="00986D1A" w:rsidRPr="005667FC">
        <w:rPr>
          <w:rFonts w:ascii="Times New Roman" w:hAnsi="Times New Roman" w:cs="Times New Roman"/>
          <w:sz w:val="28"/>
          <w:szCs w:val="28"/>
        </w:rPr>
        <w:t>6860</w:t>
      </w:r>
      <w:r w:rsidR="00C30FFF">
        <w:rPr>
          <w:rFonts w:ascii="Times New Roman" w:hAnsi="Times New Roman" w:cs="Times New Roman"/>
          <w:sz w:val="28"/>
          <w:szCs w:val="28"/>
        </w:rPr>
        <w:t xml:space="preserve"> </w:t>
      </w:r>
      <w:r w:rsidR="00C30FFF" w:rsidRPr="005667FC">
        <w:rPr>
          <w:rFonts w:ascii="Times New Roman" w:hAnsi="Times New Roman" w:cs="Times New Roman"/>
          <w:sz w:val="28"/>
          <w:szCs w:val="28"/>
        </w:rPr>
        <w:t>человек</w:t>
      </w:r>
      <w:r w:rsidR="00C30FFF">
        <w:rPr>
          <w:rFonts w:ascii="Times New Roman" w:hAnsi="Times New Roman" w:cs="Times New Roman"/>
          <w:sz w:val="28"/>
          <w:szCs w:val="28"/>
        </w:rPr>
        <w:t xml:space="preserve"> (у 31% работающих)</w:t>
      </w:r>
      <w:r w:rsidR="00986D1A" w:rsidRPr="0056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667FC" w:rsidRPr="005667FC">
        <w:rPr>
          <w:rFonts w:ascii="Times New Roman" w:hAnsi="Times New Roman" w:cs="Times New Roman"/>
          <w:sz w:val="28"/>
          <w:szCs w:val="28"/>
        </w:rPr>
        <w:t xml:space="preserve"> малых и </w:t>
      </w:r>
      <w:proofErr w:type="spellStart"/>
      <w:r w:rsidR="005667FC" w:rsidRPr="005667FC">
        <w:rPr>
          <w:rFonts w:ascii="Times New Roman" w:hAnsi="Times New Roman" w:cs="Times New Roman"/>
          <w:sz w:val="28"/>
          <w:szCs w:val="28"/>
        </w:rPr>
        <w:t>микропредприятиях</w:t>
      </w:r>
      <w:proofErr w:type="spellEnd"/>
      <w:r w:rsidR="005667FC" w:rsidRPr="005667FC">
        <w:rPr>
          <w:rFonts w:ascii="Times New Roman" w:hAnsi="Times New Roman" w:cs="Times New Roman"/>
          <w:sz w:val="28"/>
          <w:szCs w:val="28"/>
        </w:rPr>
        <w:t xml:space="preserve"> среднемесячная заработная плата составила 22044,5 рублей</w:t>
      </w:r>
      <w:r w:rsidR="005667FC">
        <w:rPr>
          <w:rFonts w:ascii="Times New Roman" w:hAnsi="Times New Roman" w:cs="Times New Roman"/>
          <w:sz w:val="28"/>
          <w:szCs w:val="28"/>
        </w:rPr>
        <w:t>,</w:t>
      </w:r>
      <w:r w:rsidR="005667FC" w:rsidRPr="0056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7FC" w:rsidRDefault="00B048C8" w:rsidP="00681A4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86D1A" w:rsidRPr="005667FC">
        <w:rPr>
          <w:rFonts w:ascii="Times New Roman" w:hAnsi="Times New Roman" w:cs="Times New Roman"/>
          <w:sz w:val="28"/>
          <w:szCs w:val="28"/>
        </w:rPr>
        <w:t>1859 человек</w:t>
      </w:r>
      <w:r w:rsidR="00C30FFF">
        <w:rPr>
          <w:rFonts w:ascii="Times New Roman" w:hAnsi="Times New Roman" w:cs="Times New Roman"/>
          <w:sz w:val="28"/>
          <w:szCs w:val="28"/>
        </w:rPr>
        <w:t xml:space="preserve"> (у 8%)</w:t>
      </w:r>
      <w:r w:rsidR="00986D1A" w:rsidRPr="005667FC">
        <w:rPr>
          <w:rFonts w:ascii="Times New Roman" w:hAnsi="Times New Roman" w:cs="Times New Roman"/>
          <w:sz w:val="28"/>
          <w:szCs w:val="28"/>
        </w:rPr>
        <w:t xml:space="preserve"> </w:t>
      </w:r>
      <w:r w:rsidR="00986D1A">
        <w:rPr>
          <w:rFonts w:ascii="Times New Roman" w:hAnsi="Times New Roman" w:cs="Times New Roman"/>
          <w:sz w:val="28"/>
          <w:szCs w:val="28"/>
        </w:rPr>
        <w:t xml:space="preserve"> занятых </w:t>
      </w:r>
      <w:r w:rsidR="005667FC" w:rsidRPr="005667FC">
        <w:rPr>
          <w:rFonts w:ascii="Times New Roman" w:hAnsi="Times New Roman" w:cs="Times New Roman"/>
          <w:sz w:val="28"/>
          <w:szCs w:val="28"/>
        </w:rPr>
        <w:t xml:space="preserve">на средних предприятиях в январе-декабре 2017 года средняя заработная плата </w:t>
      </w:r>
      <w:r w:rsidR="007477B3">
        <w:rPr>
          <w:rFonts w:ascii="Times New Roman" w:hAnsi="Times New Roman" w:cs="Times New Roman"/>
          <w:sz w:val="28"/>
          <w:szCs w:val="28"/>
        </w:rPr>
        <w:t xml:space="preserve">- </w:t>
      </w:r>
      <w:r w:rsidR="005667FC" w:rsidRPr="005667FC">
        <w:rPr>
          <w:rFonts w:ascii="Times New Roman" w:hAnsi="Times New Roman" w:cs="Times New Roman"/>
          <w:sz w:val="28"/>
          <w:szCs w:val="28"/>
        </w:rPr>
        <w:t>29853,9 рублей</w:t>
      </w:r>
      <w:r w:rsidR="001A73AF">
        <w:rPr>
          <w:rFonts w:ascii="Times New Roman" w:hAnsi="Times New Roman" w:cs="Times New Roman"/>
          <w:sz w:val="28"/>
          <w:szCs w:val="28"/>
        </w:rPr>
        <w:t xml:space="preserve"> (рисунок 4)</w:t>
      </w:r>
      <w:r w:rsidR="005667FC">
        <w:rPr>
          <w:rFonts w:ascii="Times New Roman" w:hAnsi="Times New Roman" w:cs="Times New Roman"/>
          <w:sz w:val="28"/>
          <w:szCs w:val="28"/>
        </w:rPr>
        <w:t>.</w:t>
      </w:r>
      <w:r w:rsidR="005667FC" w:rsidRPr="00566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57" w:rsidRDefault="00981657" w:rsidP="002C1B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3AF" w:rsidRDefault="001A73AF" w:rsidP="007477B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5925" w:rsidRDefault="00CE0C74" w:rsidP="001A73A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73AF">
        <w:rPr>
          <w:rFonts w:ascii="Times New Roman" w:hAnsi="Times New Roman" w:cs="Times New Roman"/>
          <w:sz w:val="28"/>
          <w:szCs w:val="28"/>
        </w:rPr>
        <w:t xml:space="preserve">исунок </w:t>
      </w:r>
      <w:r w:rsidR="007477B3">
        <w:rPr>
          <w:rFonts w:ascii="Times New Roman" w:hAnsi="Times New Roman" w:cs="Times New Roman"/>
          <w:sz w:val="28"/>
          <w:szCs w:val="28"/>
        </w:rPr>
        <w:t>4</w:t>
      </w:r>
    </w:p>
    <w:p w:rsidR="001A73AF" w:rsidRDefault="001A73AF" w:rsidP="002C1B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5925" w:rsidRDefault="00735925" w:rsidP="002C1B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9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800" cy="39814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619E" w:rsidRDefault="0052619E" w:rsidP="002C1B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3AF" w:rsidRDefault="001A73AF" w:rsidP="002C1B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3AF" w:rsidRDefault="001A73AF" w:rsidP="001A73A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7477B3">
        <w:rPr>
          <w:rFonts w:ascii="Times New Roman" w:hAnsi="Times New Roman" w:cs="Times New Roman"/>
          <w:sz w:val="28"/>
          <w:szCs w:val="28"/>
        </w:rPr>
        <w:t>5</w:t>
      </w:r>
    </w:p>
    <w:p w:rsidR="0052619E" w:rsidRDefault="0052619E" w:rsidP="002C1B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1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6850" cy="340042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0C74" w:rsidRDefault="00CE0C74" w:rsidP="002C1B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477B3" w:rsidRDefault="00EE0CA8" w:rsidP="001A73AF">
      <w:pPr>
        <w:pStyle w:val="a6"/>
        <w:spacing w:after="300" w:line="384" w:lineRule="atLeast"/>
        <w:ind w:firstLine="708"/>
        <w:contextualSpacing/>
        <w:jc w:val="both"/>
        <w:rPr>
          <w:rFonts w:ascii="Arial" w:hAnsi="Arial" w:cs="Arial"/>
          <w:color w:val="000000"/>
          <w:spacing w:val="3"/>
        </w:rPr>
      </w:pPr>
      <w:r w:rsidRPr="00382489">
        <w:rPr>
          <w:sz w:val="28"/>
          <w:szCs w:val="28"/>
        </w:rPr>
        <w:lastRenderedPageBreak/>
        <w:t>Н</w:t>
      </w:r>
      <w:r w:rsidRPr="00382489">
        <w:rPr>
          <w:color w:val="000000"/>
          <w:spacing w:val="3"/>
          <w:sz w:val="28"/>
          <w:szCs w:val="28"/>
        </w:rPr>
        <w:t xml:space="preserve">а многих предприятиях </w:t>
      </w:r>
      <w:r w:rsidR="00382489">
        <w:rPr>
          <w:color w:val="000000"/>
          <w:spacing w:val="3"/>
          <w:sz w:val="28"/>
          <w:szCs w:val="28"/>
        </w:rPr>
        <w:t>м</w:t>
      </w:r>
      <w:r w:rsidRPr="00382489">
        <w:rPr>
          <w:sz w:val="28"/>
          <w:szCs w:val="28"/>
        </w:rPr>
        <w:t>ал</w:t>
      </w:r>
      <w:r w:rsidR="00382489">
        <w:rPr>
          <w:sz w:val="28"/>
          <w:szCs w:val="28"/>
        </w:rPr>
        <w:t>ого</w:t>
      </w:r>
      <w:r w:rsidRPr="00382489">
        <w:rPr>
          <w:sz w:val="28"/>
          <w:szCs w:val="28"/>
        </w:rPr>
        <w:t xml:space="preserve"> бизнес</w:t>
      </w:r>
      <w:r w:rsidR="00382489">
        <w:rPr>
          <w:sz w:val="28"/>
          <w:szCs w:val="28"/>
        </w:rPr>
        <w:t>а</w:t>
      </w:r>
      <w:r w:rsidRPr="00382489">
        <w:rPr>
          <w:sz w:val="28"/>
          <w:szCs w:val="28"/>
        </w:rPr>
        <w:t xml:space="preserve"> </w:t>
      </w:r>
      <w:r w:rsidRPr="00382489">
        <w:rPr>
          <w:color w:val="000000"/>
          <w:spacing w:val="3"/>
          <w:sz w:val="28"/>
          <w:szCs w:val="28"/>
        </w:rPr>
        <w:t>индексация заработной платы не производилась несколько лет.</w:t>
      </w:r>
      <w:r w:rsidR="001A73AF">
        <w:rPr>
          <w:color w:val="000000"/>
          <w:spacing w:val="3"/>
          <w:sz w:val="28"/>
          <w:szCs w:val="28"/>
        </w:rPr>
        <w:t xml:space="preserve"> Это значит, что</w:t>
      </w:r>
      <w:r w:rsidR="00382489" w:rsidRPr="00382489">
        <w:rPr>
          <w:color w:val="000000"/>
          <w:spacing w:val="3"/>
          <w:sz w:val="28"/>
          <w:szCs w:val="28"/>
        </w:rPr>
        <w:t xml:space="preserve"> каждый работник </w:t>
      </w:r>
      <w:r w:rsidR="00F81865">
        <w:rPr>
          <w:color w:val="000000"/>
          <w:spacing w:val="3"/>
          <w:sz w:val="28"/>
          <w:szCs w:val="28"/>
        </w:rPr>
        <w:t xml:space="preserve">потерял </w:t>
      </w:r>
      <w:r w:rsidR="00382489" w:rsidRPr="00382489">
        <w:rPr>
          <w:color w:val="000000"/>
          <w:spacing w:val="3"/>
          <w:sz w:val="28"/>
          <w:szCs w:val="28"/>
        </w:rPr>
        <w:t>в зарплате столько, насколько она не проиндексирована</w:t>
      </w:r>
      <w:proofErr w:type="gramStart"/>
      <w:r w:rsidR="00E82450">
        <w:rPr>
          <w:color w:val="000000"/>
          <w:spacing w:val="3"/>
          <w:sz w:val="28"/>
          <w:szCs w:val="28"/>
        </w:rPr>
        <w:t>.</w:t>
      </w:r>
      <w:proofErr w:type="gramEnd"/>
      <w:r w:rsidR="00986D1A">
        <w:rPr>
          <w:color w:val="000000"/>
          <w:spacing w:val="3"/>
          <w:sz w:val="28"/>
          <w:szCs w:val="28"/>
        </w:rPr>
        <w:t xml:space="preserve"> </w:t>
      </w:r>
      <w:r w:rsidR="00E82450">
        <w:rPr>
          <w:color w:val="000000"/>
          <w:spacing w:val="3"/>
          <w:sz w:val="28"/>
          <w:szCs w:val="28"/>
        </w:rPr>
        <w:t>Н</w:t>
      </w:r>
      <w:r w:rsidR="00986D1A">
        <w:rPr>
          <w:color w:val="000000"/>
          <w:spacing w:val="3"/>
          <w:sz w:val="28"/>
          <w:szCs w:val="28"/>
        </w:rPr>
        <w:t xml:space="preserve">а рисунке 6 линия тренда заработной платы </w:t>
      </w:r>
      <w:r w:rsidR="00E82450">
        <w:rPr>
          <w:color w:val="000000"/>
          <w:spacing w:val="3"/>
          <w:sz w:val="28"/>
          <w:szCs w:val="28"/>
        </w:rPr>
        <w:t xml:space="preserve">на малых предприятиях </w:t>
      </w:r>
      <w:r w:rsidR="00986D1A">
        <w:rPr>
          <w:color w:val="000000"/>
          <w:spacing w:val="3"/>
          <w:sz w:val="28"/>
          <w:szCs w:val="28"/>
        </w:rPr>
        <w:t>резко снижается в 2016 году</w:t>
      </w:r>
      <w:r w:rsidR="00A3167B">
        <w:rPr>
          <w:color w:val="000000"/>
          <w:spacing w:val="3"/>
          <w:sz w:val="28"/>
          <w:szCs w:val="28"/>
        </w:rPr>
        <w:t xml:space="preserve"> на 11,5%, а в 2017 году выходит в рост на 18%, но при этом ежего</w:t>
      </w:r>
      <w:r w:rsidR="00E82450">
        <w:rPr>
          <w:color w:val="000000"/>
          <w:spacing w:val="3"/>
          <w:sz w:val="28"/>
          <w:szCs w:val="28"/>
        </w:rPr>
        <w:t xml:space="preserve">дный рост МПБ составляет 3-4 % и наглядно </w:t>
      </w:r>
      <w:r w:rsidR="00A3167B">
        <w:rPr>
          <w:color w:val="000000"/>
          <w:spacing w:val="3"/>
          <w:sz w:val="28"/>
          <w:szCs w:val="28"/>
        </w:rPr>
        <w:t>снижение уровня заработной платы в действующих ценах.</w:t>
      </w:r>
    </w:p>
    <w:p w:rsidR="007477B3" w:rsidRPr="007477B3" w:rsidRDefault="007477B3" w:rsidP="007477B3">
      <w:pPr>
        <w:pStyle w:val="a6"/>
        <w:spacing w:after="300" w:line="384" w:lineRule="atLeast"/>
        <w:ind w:firstLine="708"/>
        <w:contextualSpacing/>
        <w:jc w:val="right"/>
        <w:rPr>
          <w:color w:val="000000"/>
          <w:spacing w:val="3"/>
          <w:sz w:val="28"/>
          <w:szCs w:val="28"/>
        </w:rPr>
      </w:pPr>
      <w:r w:rsidRPr="007477B3">
        <w:rPr>
          <w:color w:val="000000"/>
          <w:spacing w:val="3"/>
          <w:sz w:val="28"/>
          <w:szCs w:val="28"/>
        </w:rPr>
        <w:t>Рисунок 6</w:t>
      </w:r>
    </w:p>
    <w:p w:rsidR="007477B3" w:rsidRDefault="007477B3" w:rsidP="001A73AF">
      <w:pPr>
        <w:pStyle w:val="a6"/>
        <w:spacing w:after="300" w:line="384" w:lineRule="atLeast"/>
        <w:ind w:firstLine="708"/>
        <w:contextualSpacing/>
        <w:jc w:val="both"/>
        <w:rPr>
          <w:rFonts w:ascii="Arial" w:hAnsi="Arial" w:cs="Arial"/>
          <w:color w:val="000000"/>
          <w:spacing w:val="3"/>
        </w:rPr>
      </w:pPr>
    </w:p>
    <w:p w:rsidR="007477B3" w:rsidRDefault="007477B3" w:rsidP="001A73AF">
      <w:pPr>
        <w:pStyle w:val="a6"/>
        <w:spacing w:after="300" w:line="384" w:lineRule="atLeast"/>
        <w:ind w:firstLine="708"/>
        <w:contextualSpacing/>
        <w:jc w:val="both"/>
        <w:rPr>
          <w:rFonts w:ascii="Arial" w:hAnsi="Arial" w:cs="Arial"/>
          <w:color w:val="000000"/>
          <w:spacing w:val="3"/>
        </w:rPr>
      </w:pPr>
    </w:p>
    <w:p w:rsidR="00CA2C05" w:rsidRDefault="00CA2C05" w:rsidP="002C1BA0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A2C05">
        <w:rPr>
          <w:rFonts w:ascii="Times New Roman" w:hAnsi="Times New Roman" w:cs="Times New Roman"/>
          <w:sz w:val="28"/>
          <w:szCs w:val="28"/>
        </w:rPr>
        <w:object w:dxaOrig="7167" w:dyaOrig="5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339.75pt" o:ole="">
            <v:imagedata r:id="rId15" o:title=""/>
          </v:shape>
          <o:OLEObject Type="Embed" ProgID="PowerPoint.Slide.12" ShapeID="_x0000_i1025" DrawAspect="Content" ObjectID="_1589697084" r:id="rId16"/>
        </w:object>
      </w:r>
    </w:p>
    <w:p w:rsidR="002C1BA0" w:rsidRDefault="002C1BA0" w:rsidP="002C1BA0">
      <w:pPr>
        <w:ind w:firstLine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C1BA0">
        <w:rPr>
          <w:rFonts w:ascii="Times New Roman" w:hAnsi="Times New Roman" w:cs="Times New Roman"/>
          <w:sz w:val="28"/>
          <w:szCs w:val="28"/>
        </w:rPr>
        <w:t>Индексацию нельзя поставить в зависимость от финансовых показателей</w:t>
      </w:r>
      <w:r w:rsidR="001A73AF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hAnsi="Times New Roman" w:cs="Times New Roman"/>
          <w:sz w:val="28"/>
          <w:szCs w:val="28"/>
        </w:rPr>
        <w:t>, а о</w:t>
      </w:r>
      <w:r w:rsidRPr="002C1BA0">
        <w:rPr>
          <w:rFonts w:ascii="Times New Roman" w:hAnsi="Times New Roman" w:cs="Times New Roman"/>
          <w:sz w:val="28"/>
          <w:szCs w:val="28"/>
        </w:rPr>
        <w:t xml:space="preserve">сновной идеей индексации является возможность работника купить на свою заработную плату одинаковое количество товаров сегодня и, например, через год. </w:t>
      </w:r>
    </w:p>
    <w:p w:rsidR="00CE0C74" w:rsidRPr="009D0386" w:rsidRDefault="005667FC" w:rsidP="002C1BA0">
      <w:pPr>
        <w:ind w:firstLine="720"/>
        <w:contextualSpacing/>
        <w:mirrorIndents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667FC">
        <w:rPr>
          <w:rFonts w:ascii="Times New Roman" w:hAnsi="Times New Roman" w:cs="Times New Roman"/>
          <w:sz w:val="28"/>
          <w:szCs w:val="28"/>
        </w:rPr>
        <w:t>В соответствии со ст. 134 ТК РФ работодатели должны проводить индексацию заработной платы в связи с ростом потребительских цен на товары и услуги</w:t>
      </w:r>
      <w:r w:rsidR="00F06D40">
        <w:rPr>
          <w:rFonts w:ascii="Times New Roman" w:hAnsi="Times New Roman" w:cs="Times New Roman"/>
          <w:sz w:val="28"/>
          <w:szCs w:val="28"/>
        </w:rPr>
        <w:t>,</w:t>
      </w:r>
      <w:r w:rsidRPr="005667FC">
        <w:rPr>
          <w:rFonts w:ascii="Times New Roman" w:hAnsi="Times New Roman" w:cs="Times New Roman"/>
          <w:sz w:val="28"/>
          <w:szCs w:val="28"/>
        </w:rPr>
        <w:t xml:space="preserve"> в порядке, установленном коллективным договором и локальными нормативными актами</w:t>
      </w:r>
      <w:r w:rsidR="00F06D40">
        <w:rPr>
          <w:rFonts w:ascii="Times New Roman" w:hAnsi="Times New Roman" w:cs="Times New Roman"/>
          <w:sz w:val="28"/>
          <w:szCs w:val="28"/>
        </w:rPr>
        <w:t>,</w:t>
      </w:r>
      <w:r w:rsidR="00F06D40" w:rsidRPr="00F06D40">
        <w:rPr>
          <w:rFonts w:ascii="Times New Roman" w:hAnsi="Times New Roman" w:cs="Times New Roman"/>
          <w:sz w:val="28"/>
          <w:szCs w:val="28"/>
        </w:rPr>
        <w:t xml:space="preserve"> не реже одного раза в год с учетом </w:t>
      </w:r>
      <w:r w:rsidR="00F06D40" w:rsidRPr="00F06D40">
        <w:rPr>
          <w:rFonts w:ascii="Times New Roman" w:hAnsi="Times New Roman" w:cs="Times New Roman"/>
          <w:sz w:val="28"/>
          <w:szCs w:val="28"/>
        </w:rPr>
        <w:lastRenderedPageBreak/>
        <w:t>фактических темпов роста инфляции, определяемых органами государственной статистики.</w:t>
      </w:r>
      <w:r w:rsidR="00CE0C74" w:rsidRPr="00CE0C7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A3167B" w:rsidRDefault="009D0386" w:rsidP="009D0386">
      <w:pPr>
        <w:ind w:firstLine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9D0386" w:rsidRDefault="009D0386" w:rsidP="009D0386">
      <w:pPr>
        <w:ind w:firstLine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667FC">
        <w:rPr>
          <w:rFonts w:ascii="Times New Roman" w:hAnsi="Times New Roman" w:cs="Times New Roman"/>
          <w:sz w:val="28"/>
          <w:szCs w:val="28"/>
        </w:rPr>
        <w:t xml:space="preserve">При повышении МРОТ работодатели, уплачивающие своим сотрудникам минимальную зарплату, обязаны ее повысить до новых значений. </w:t>
      </w:r>
    </w:p>
    <w:p w:rsidR="005667FC" w:rsidRPr="008533D7" w:rsidRDefault="009D0386" w:rsidP="00A3167B">
      <w:pPr>
        <w:ind w:firstLine="720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C74" w:rsidRPr="00CE0C74">
        <w:rPr>
          <w:rFonts w:ascii="Times New Roman" w:hAnsi="Times New Roman" w:cs="Times New Roman"/>
          <w:sz w:val="28"/>
          <w:szCs w:val="28"/>
        </w:rPr>
        <w:t xml:space="preserve">ндексация заработной платы должна обеспечиваться </w:t>
      </w:r>
      <w:proofErr w:type="gramStart"/>
      <w:r w:rsidR="00CE0C74" w:rsidRPr="00CE0C74">
        <w:rPr>
          <w:rFonts w:ascii="Times New Roman" w:hAnsi="Times New Roman" w:cs="Times New Roman"/>
          <w:sz w:val="28"/>
          <w:szCs w:val="28"/>
        </w:rPr>
        <w:t xml:space="preserve">всем лицам, работающим по трудовому </w:t>
      </w:r>
      <w:r w:rsidR="00CE0C74" w:rsidRPr="00E7569F">
        <w:rPr>
          <w:rFonts w:ascii="Times New Roman" w:hAnsi="Times New Roman" w:cs="Times New Roman"/>
          <w:sz w:val="28"/>
          <w:szCs w:val="28"/>
        </w:rPr>
        <w:t>договору</w:t>
      </w:r>
      <w:r w:rsidR="00E7569F">
        <w:rPr>
          <w:rFonts w:ascii="Times New Roman" w:hAnsi="Times New Roman" w:cs="Times New Roman"/>
          <w:sz w:val="28"/>
          <w:szCs w:val="28"/>
        </w:rPr>
        <w:t xml:space="preserve"> и направлена</w:t>
      </w:r>
      <w:proofErr w:type="gramEnd"/>
      <w:r w:rsidR="00E7569F">
        <w:rPr>
          <w:rFonts w:ascii="Times New Roman" w:hAnsi="Times New Roman" w:cs="Times New Roman"/>
          <w:sz w:val="28"/>
          <w:szCs w:val="28"/>
        </w:rPr>
        <w:t xml:space="preserve"> на </w:t>
      </w:r>
      <w:r w:rsidR="00E7569F" w:rsidRPr="00E7569F">
        <w:rPr>
          <w:rFonts w:ascii="Times New Roman" w:hAnsi="Times New Roman" w:cs="Times New Roman"/>
          <w:bCs/>
          <w:sz w:val="28"/>
          <w:szCs w:val="28"/>
        </w:rPr>
        <w:t>защит</w:t>
      </w:r>
      <w:r w:rsidR="00E7569F">
        <w:rPr>
          <w:rFonts w:ascii="Times New Roman" w:hAnsi="Times New Roman" w:cs="Times New Roman"/>
          <w:bCs/>
          <w:sz w:val="28"/>
          <w:szCs w:val="28"/>
        </w:rPr>
        <w:t>у</w:t>
      </w:r>
      <w:r w:rsidR="00E7569F" w:rsidRPr="00E7569F">
        <w:rPr>
          <w:rFonts w:ascii="Times New Roman" w:hAnsi="Times New Roman" w:cs="Times New Roman"/>
          <w:bCs/>
          <w:sz w:val="28"/>
          <w:szCs w:val="28"/>
        </w:rPr>
        <w:t xml:space="preserve"> заработка от инфляции в связи с ростом потребительских цен.</w:t>
      </w:r>
      <w:r w:rsidR="00CE0C74" w:rsidRPr="00E7569F">
        <w:rPr>
          <w:rFonts w:ascii="Times New Roman" w:hAnsi="Times New Roman" w:cs="Times New Roman"/>
          <w:sz w:val="28"/>
          <w:szCs w:val="28"/>
        </w:rPr>
        <w:br/>
      </w:r>
      <w:r w:rsidR="00CE0C74" w:rsidRPr="00CE0C74">
        <w:rPr>
          <w:rFonts w:ascii="Times New Roman" w:hAnsi="Times New Roman" w:cs="Times New Roman"/>
          <w:sz w:val="28"/>
          <w:szCs w:val="28"/>
        </w:rPr>
        <w:br/>
      </w:r>
    </w:p>
    <w:p w:rsidR="003C5EA8" w:rsidRPr="00FF6F3C" w:rsidRDefault="00AE625F" w:rsidP="002C1BA0">
      <w:pPr>
        <w:tabs>
          <w:tab w:val="right" w:pos="9355"/>
        </w:tabs>
        <w:spacing w:before="120" w:after="120" w:line="240" w:lineRule="auto"/>
        <w:contextualSpacing/>
      </w:pPr>
      <w:r w:rsidRPr="00AE625F">
        <w:br/>
      </w:r>
      <w:r w:rsidRPr="00AE625F">
        <w:br/>
      </w:r>
    </w:p>
    <w:sectPr w:rsidR="003C5EA8" w:rsidRPr="00FF6F3C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625F"/>
    <w:rsid w:val="000B7E4F"/>
    <w:rsid w:val="00123F3E"/>
    <w:rsid w:val="001A73AF"/>
    <w:rsid w:val="002C1BA0"/>
    <w:rsid w:val="0031201A"/>
    <w:rsid w:val="00382489"/>
    <w:rsid w:val="00385383"/>
    <w:rsid w:val="003C1122"/>
    <w:rsid w:val="003C5EA8"/>
    <w:rsid w:val="0052619E"/>
    <w:rsid w:val="005667FC"/>
    <w:rsid w:val="005912F4"/>
    <w:rsid w:val="006008C0"/>
    <w:rsid w:val="006017A8"/>
    <w:rsid w:val="0065764C"/>
    <w:rsid w:val="006621AE"/>
    <w:rsid w:val="00681A46"/>
    <w:rsid w:val="00714E34"/>
    <w:rsid w:val="00735925"/>
    <w:rsid w:val="007477B3"/>
    <w:rsid w:val="00774E08"/>
    <w:rsid w:val="007C3C94"/>
    <w:rsid w:val="00817101"/>
    <w:rsid w:val="008305CA"/>
    <w:rsid w:val="008533D7"/>
    <w:rsid w:val="0089336F"/>
    <w:rsid w:val="008A3216"/>
    <w:rsid w:val="00951132"/>
    <w:rsid w:val="00981657"/>
    <w:rsid w:val="00986D1A"/>
    <w:rsid w:val="00990A5E"/>
    <w:rsid w:val="009D0386"/>
    <w:rsid w:val="00A24BE0"/>
    <w:rsid w:val="00A3167B"/>
    <w:rsid w:val="00A51194"/>
    <w:rsid w:val="00A7459D"/>
    <w:rsid w:val="00A82E8F"/>
    <w:rsid w:val="00AA53F5"/>
    <w:rsid w:val="00AD4145"/>
    <w:rsid w:val="00AE18C6"/>
    <w:rsid w:val="00AE625F"/>
    <w:rsid w:val="00AF0F98"/>
    <w:rsid w:val="00B048C8"/>
    <w:rsid w:val="00BB05D8"/>
    <w:rsid w:val="00C01EB0"/>
    <w:rsid w:val="00C30FFF"/>
    <w:rsid w:val="00C626E5"/>
    <w:rsid w:val="00CA2C05"/>
    <w:rsid w:val="00CE0C74"/>
    <w:rsid w:val="00DD7134"/>
    <w:rsid w:val="00DE437E"/>
    <w:rsid w:val="00E30DD2"/>
    <w:rsid w:val="00E7569F"/>
    <w:rsid w:val="00E82450"/>
    <w:rsid w:val="00EE0CA8"/>
    <w:rsid w:val="00F06D40"/>
    <w:rsid w:val="00F81865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E625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E625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5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2688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7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package" Target="embeddings/______Microsoft_Office_PowerPoint3.sldx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hart" Target="charts/chart2.xml"/><Relationship Id="rId5" Type="http://schemas.openxmlformats.org/officeDocument/2006/relationships/diagramLayout" Target="diagrams/layout1.xml"/><Relationship Id="rId15" Type="http://schemas.openxmlformats.org/officeDocument/2006/relationships/image" Target="media/image1.emf"/><Relationship Id="rId10" Type="http://schemas.openxmlformats.org/officeDocument/2006/relationships/chart" Target="charts/chart1.xml"/><Relationship Id="rId4" Type="http://schemas.openxmlformats.org/officeDocument/2006/relationships/diagramData" Target="diagrams/data1.xml"/><Relationship Id="rId9" Type="http://schemas.openxmlformats.org/officeDocument/2006/relationships/hyperlink" Target="http://base.garant.ru/8141462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44;&#1077;&#1085;%20&#1076;&#1086;&#1093;%20&#1085;&#1072;&#10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44;&#1077;&#1085;%20&#1076;&#1086;&#1093;%20&#1085;&#1072;&#10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44;&#1077;&#1085;%20&#1076;&#1086;&#1093;%20&#1085;&#1072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Минимального потребительского бюджета по статьям расходам</c:v>
                </c:pt>
              </c:strCache>
            </c:strRef>
          </c:tx>
          <c:spPr>
            <a:effectLst/>
          </c:spPr>
          <c:explosion val="10"/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B9-46EA-8B2D-B9323CB14313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B9-46EA-8B2D-B9323CB14313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B9-46EA-8B2D-B9323CB14313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B9-46EA-8B2D-B9323CB14313}"/>
              </c:ext>
            </c:extLst>
          </c:dPt>
          <c:dLbls>
            <c:dLbl>
              <c:idx val="0"/>
              <c:layout>
                <c:manualLayout>
                  <c:x val="2.8763915286451297E-3"/>
                  <c:y val="-3.2803193469227727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BB9-46EA-8B2D-B9323CB14313}"/>
                </c:ext>
              </c:extLst>
            </c:dLbl>
            <c:dLbl>
              <c:idx val="1"/>
              <c:layout>
                <c:manualLayout>
                  <c:x val="0.13278885218370692"/>
                  <c:y val="-3.5825116995060212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BB9-46EA-8B2D-B9323CB14313}"/>
                </c:ext>
              </c:extLst>
            </c:dLbl>
            <c:dLbl>
              <c:idx val="2"/>
              <c:layout>
                <c:manualLayout>
                  <c:x val="-1.2133450991039917E-2"/>
                  <c:y val="-7.4735679202851152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BB9-46EA-8B2D-B9323CB14313}"/>
                </c:ext>
              </c:extLst>
            </c:dLbl>
            <c:dLbl>
              <c:idx val="3"/>
              <c:layout>
                <c:manualLayout>
                  <c:x val="-3.8443964260214625E-2"/>
                  <c:y val="-1.6640453136225444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BB9-46EA-8B2D-B9323CB143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Питание</c:v>
                </c:pt>
                <c:pt idx="1">
                  <c:v>Непрод. товары</c:v>
                </c:pt>
                <c:pt idx="2">
                  <c:v>Услуги</c:v>
                </c:pt>
                <c:pt idx="3">
                  <c:v>Налоги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33.300000000000004</c:v>
                </c:pt>
                <c:pt idx="1">
                  <c:v>24.1</c:v>
                </c:pt>
                <c:pt idx="2">
                  <c:v>36.300000000000004</c:v>
                </c:pt>
                <c:pt idx="3">
                  <c:v>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B9-46EA-8B2D-B9323CB14313}"/>
            </c:ext>
          </c:extLst>
        </c:ser>
        <c:firstSliceAng val="0"/>
      </c:pieChart>
    </c:plotArea>
    <c:plotVisOnly val="1"/>
    <c:dispBlanksAs val="zero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Минимального потребительского бюджета по статьям расходам</c:v>
                </c:pt>
              </c:strCache>
            </c:strRef>
          </c:tx>
          <c:explosion val="10"/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BA2-4CAA-ACB1-34C3DDFA0541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BA2-4CAA-ACB1-34C3DDFA0541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BA2-4CAA-ACB1-34C3DDFA0541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BA2-4CAA-ACB1-34C3DDFA0541}"/>
              </c:ext>
            </c:extLst>
          </c:dPt>
          <c:dLbls>
            <c:dLbl>
              <c:idx val="0"/>
              <c:layout>
                <c:manualLayout>
                  <c:x val="-4.2412424071313591E-2"/>
                  <c:y val="-7.7269488713570686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BA2-4CAA-ACB1-34C3DDFA0541}"/>
                </c:ext>
              </c:extLst>
            </c:dLbl>
            <c:dLbl>
              <c:idx val="1"/>
              <c:layout>
                <c:manualLayout>
                  <c:x val="0.13164289756888578"/>
                  <c:y val="-5.3559926210831103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BA2-4CAA-ACB1-34C3DDFA0541}"/>
                </c:ext>
              </c:extLst>
            </c:dLbl>
            <c:dLbl>
              <c:idx val="2"/>
              <c:layout>
                <c:manualLayout>
                  <c:x val="1.8721959516173513E-2"/>
                  <c:y val="-0.1818310144822019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BA2-4CAA-ACB1-34C3DDFA0541}"/>
                </c:ext>
              </c:extLst>
            </c:dLbl>
            <c:dLbl>
              <c:idx val="3"/>
              <c:layout>
                <c:manualLayout>
                  <c:x val="-7.4349960824093606E-2"/>
                  <c:y val="1.6511923875016071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BA2-4CAA-ACB1-34C3DDFA05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Питание</c:v>
                </c:pt>
                <c:pt idx="1">
                  <c:v>Непрод. товары</c:v>
                </c:pt>
                <c:pt idx="2">
                  <c:v>Услуги</c:v>
                </c:pt>
                <c:pt idx="3">
                  <c:v>Налоги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33.9</c:v>
                </c:pt>
                <c:pt idx="1">
                  <c:v>23.7</c:v>
                </c:pt>
                <c:pt idx="2">
                  <c:v>36.1</c:v>
                </c:pt>
                <c:pt idx="3">
                  <c:v>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BA2-4CAA-ACB1-34C3DDFA0541}"/>
            </c:ext>
          </c:extLst>
        </c:ser>
        <c:firstSliceAng val="0"/>
      </c:pieChart>
    </c:plotArea>
    <c:plotVisOnly val="1"/>
    <c:dispBlanksAs val="zero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занятых в Тукаевском муниципальном районе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4F81BD"/>
              </a:solidFill>
            </c:spPr>
          </c:dPt>
          <c:dLbls>
            <c:dLbl>
              <c:idx val="0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 sz="14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Лист1!$A$169:$A$172</c:f>
              <c:strCache>
                <c:ptCount val="4"/>
                <c:pt idx="0">
                  <c:v>Крупные и средние предприятия и учреждения</c:v>
                </c:pt>
                <c:pt idx="1">
                  <c:v>Малые и микропредприятия</c:v>
                </c:pt>
                <c:pt idx="2">
                  <c:v>Средние предприятия </c:v>
                </c:pt>
                <c:pt idx="3">
                  <c:v>Индивидуальные предприниматели </c:v>
                </c:pt>
              </c:strCache>
            </c:strRef>
          </c:cat>
          <c:val>
            <c:numRef>
              <c:f>Лист1!$B$169:$B$172</c:f>
              <c:numCache>
                <c:formatCode>General</c:formatCode>
                <c:ptCount val="4"/>
                <c:pt idx="0">
                  <c:v>11977</c:v>
                </c:pt>
                <c:pt idx="1">
                  <c:v>6860</c:v>
                </c:pt>
                <c:pt idx="2">
                  <c:v>1859</c:v>
                </c:pt>
                <c:pt idx="3">
                  <c:v>1446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Темп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роста среднемесячной заработной платы работников крупных и средних предприятий и стоимостной величины МПБ 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по Тукаевскому муниципальному району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>
        <c:manualLayout>
          <c:layoutTarget val="inner"/>
          <c:xMode val="edge"/>
          <c:yMode val="edge"/>
          <c:x val="3.0555555555555579E-2"/>
          <c:y val="0.56583684375796139"/>
          <c:w val="0.93888888888888955"/>
          <c:h val="0.34254539852947274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Лист1!$A$11</c:f>
              <c:strCache>
                <c:ptCount val="1"/>
                <c:pt idx="0">
                  <c:v>Стоимостная величина минимального потребительского бюджета по Тукаевскому району, рублей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trendline>
            <c:spPr>
              <a:ln>
                <a:solidFill>
                  <a:srgbClr val="FF0000"/>
                </a:solidFill>
              </a:ln>
            </c:spPr>
            <c:trendlineType val="linear"/>
          </c:trendline>
          <c:cat>
            <c:strRef>
              <c:f>Лист1!$B$10:$G$10</c:f>
              <c:strCache>
                <c:ptCount val="6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январь -март 2018 года</c:v>
                </c:pt>
              </c:strCache>
            </c:strRef>
          </c:cat>
          <c:val>
            <c:numRef>
              <c:f>Лист1!$B$11:$G$11</c:f>
              <c:numCache>
                <c:formatCode>General</c:formatCode>
                <c:ptCount val="6"/>
                <c:pt idx="0">
                  <c:v>8712</c:v>
                </c:pt>
                <c:pt idx="1">
                  <c:v>9229</c:v>
                </c:pt>
                <c:pt idx="2">
                  <c:v>10318</c:v>
                </c:pt>
                <c:pt idx="3">
                  <c:v>10653</c:v>
                </c:pt>
                <c:pt idx="4">
                  <c:v>11095</c:v>
                </c:pt>
                <c:pt idx="5">
                  <c:v>11704</c:v>
                </c:pt>
              </c:numCache>
            </c:numRef>
          </c:val>
        </c:ser>
        <c:ser>
          <c:idx val="1"/>
          <c:order val="1"/>
          <c:tx>
            <c:strRef>
              <c:f>Лист1!$A$12</c:f>
              <c:strCache>
                <c:ptCount val="1"/>
                <c:pt idx="0">
                  <c:v>Среднемесячная заработная плата работников крупных и средних предприятий Тукаевского района, рублей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trendline>
            <c:trendlineType val="linear"/>
          </c:trendline>
          <c:cat>
            <c:strRef>
              <c:f>Лист1!$B$10:$G$10</c:f>
              <c:strCache>
                <c:ptCount val="6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январь -март 2018 года</c:v>
                </c:pt>
              </c:strCache>
            </c:strRef>
          </c:cat>
          <c:val>
            <c:numRef>
              <c:f>Лист1!$B$12:$G$12</c:f>
              <c:numCache>
                <c:formatCode>General</c:formatCode>
                <c:ptCount val="6"/>
                <c:pt idx="0">
                  <c:v>24738.2</c:v>
                </c:pt>
                <c:pt idx="1">
                  <c:v>24835.5</c:v>
                </c:pt>
                <c:pt idx="2">
                  <c:v>28643.8</c:v>
                </c:pt>
                <c:pt idx="3">
                  <c:v>31338.2</c:v>
                </c:pt>
                <c:pt idx="4">
                  <c:v>34041</c:v>
                </c:pt>
                <c:pt idx="5">
                  <c:v>35345.5</c:v>
                </c:pt>
              </c:numCache>
            </c:numRef>
          </c:val>
        </c:ser>
        <c:dLbls>
          <c:showVal val="1"/>
        </c:dLbls>
        <c:overlap val="-25"/>
        <c:axId val="61796736"/>
        <c:axId val="61798272"/>
      </c:barChart>
      <c:catAx>
        <c:axId val="6179673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798272"/>
        <c:crosses val="autoZero"/>
        <c:auto val="1"/>
        <c:lblAlgn val="ctr"/>
        <c:lblOffset val="100"/>
      </c:catAx>
      <c:valAx>
        <c:axId val="61798272"/>
        <c:scaling>
          <c:orientation val="minMax"/>
        </c:scaling>
        <c:delete val="1"/>
        <c:axPos val="l"/>
        <c:numFmt formatCode="General" sourceLinked="1"/>
        <c:tickLblPos val="none"/>
        <c:crossAx val="6179673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"/>
          <c:y val="0.20577985979600649"/>
          <c:w val="1"/>
          <c:h val="0.31082521013987174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Темп роста среднемесячной заработной платы работников малых предприятий и стоимостной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величины МПБ по Тукаевскому муниципальному району, рублей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>
        <c:manualLayout>
          <c:layoutTarget val="inner"/>
          <c:xMode val="edge"/>
          <c:yMode val="edge"/>
          <c:x val="1.666666666666667E-2"/>
          <c:y val="0.61018935937728813"/>
          <c:w val="0.93888888888888899"/>
          <c:h val="0.3266060626541854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Лист1!$A$14</c:f>
              <c:strCache>
                <c:ptCount val="1"/>
                <c:pt idx="0">
                  <c:v>Стоимостная величина минимального потребительского бюджета по Тукаевскому району, рублей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Лист1!$B$13:$F$13</c:f>
              <c:strCache>
                <c:ptCount val="5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</c:strCache>
            </c:strRef>
          </c:cat>
          <c:val>
            <c:numRef>
              <c:f>Лист1!$B$14:$F$14</c:f>
              <c:numCache>
                <c:formatCode>General</c:formatCode>
                <c:ptCount val="5"/>
                <c:pt idx="0">
                  <c:v>8712</c:v>
                </c:pt>
                <c:pt idx="1">
                  <c:v>9229</c:v>
                </c:pt>
                <c:pt idx="2">
                  <c:v>10318</c:v>
                </c:pt>
                <c:pt idx="3">
                  <c:v>10653</c:v>
                </c:pt>
                <c:pt idx="4">
                  <c:v>11095</c:v>
                </c:pt>
              </c:numCache>
            </c:numRef>
          </c:val>
        </c:ser>
        <c:ser>
          <c:idx val="1"/>
          <c:order val="1"/>
          <c:tx>
            <c:strRef>
              <c:f>Лист1!$A$15</c:f>
              <c:strCache>
                <c:ptCount val="1"/>
                <c:pt idx="0">
                  <c:v>заработная плата на малых и микропредприятиях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0"/>
                  <c:y val="3.1496056482927998E-2"/>
                </c:manualLayout>
              </c:layout>
              <c:showVal val="1"/>
            </c:dLbl>
            <c:dLbl>
              <c:idx val="1"/>
              <c:layout>
                <c:manualLayout>
                  <c:x val="-5.5555555555555558E-3"/>
                  <c:y val="3.6745399230082618E-2"/>
                </c:manualLayout>
              </c:layout>
              <c:showVal val="1"/>
            </c:dLbl>
            <c:dLbl>
              <c:idx val="2"/>
              <c:layout>
                <c:manualLayout>
                  <c:x val="-8.3333333333333367E-3"/>
                  <c:y val="3.937007060365998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Лист1!$B$13:$F$13</c:f>
              <c:strCache>
                <c:ptCount val="5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</c:strCache>
            </c:strRef>
          </c:cat>
          <c:val>
            <c:numRef>
              <c:f>Лист1!$B$15:$F$15</c:f>
              <c:numCache>
                <c:formatCode>General</c:formatCode>
                <c:ptCount val="5"/>
                <c:pt idx="0">
                  <c:v>21000.5</c:v>
                </c:pt>
                <c:pt idx="1">
                  <c:v>21096</c:v>
                </c:pt>
                <c:pt idx="2">
                  <c:v>21087</c:v>
                </c:pt>
                <c:pt idx="3">
                  <c:v>18651.900000000001</c:v>
                </c:pt>
                <c:pt idx="4">
                  <c:v>22044.5</c:v>
                </c:pt>
              </c:numCache>
            </c:numRef>
          </c:val>
        </c:ser>
        <c:ser>
          <c:idx val="2"/>
          <c:order val="2"/>
          <c:tx>
            <c:strRef>
              <c:f>Лист1!$A$16</c:f>
              <c:strCache>
                <c:ptCount val="1"/>
                <c:pt idx="0">
                  <c:v>Среднемесячная заработная плата на средних предприятиях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Лист1!$B$13:$F$13</c:f>
              <c:strCache>
                <c:ptCount val="5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</c:strCache>
            </c:strRef>
          </c:cat>
          <c:val>
            <c:numRef>
              <c:f>Лист1!$B$16:$F$16</c:f>
              <c:numCache>
                <c:formatCode>General</c:formatCode>
                <c:ptCount val="5"/>
                <c:pt idx="0">
                  <c:v>25804.2</c:v>
                </c:pt>
                <c:pt idx="1">
                  <c:v>22815</c:v>
                </c:pt>
                <c:pt idx="2">
                  <c:v>22476.3</c:v>
                </c:pt>
                <c:pt idx="3">
                  <c:v>35486.300000000003</c:v>
                </c:pt>
                <c:pt idx="4">
                  <c:v>29853.9</c:v>
                </c:pt>
              </c:numCache>
            </c:numRef>
          </c:val>
        </c:ser>
        <c:dLbls>
          <c:showVal val="1"/>
        </c:dLbls>
        <c:overlap val="-25"/>
        <c:axId val="63201664"/>
        <c:axId val="63203200"/>
      </c:barChart>
      <c:catAx>
        <c:axId val="6320166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203200"/>
        <c:crosses val="autoZero"/>
        <c:auto val="1"/>
        <c:lblAlgn val="ctr"/>
        <c:lblOffset val="100"/>
      </c:catAx>
      <c:valAx>
        <c:axId val="63203200"/>
        <c:scaling>
          <c:orientation val="minMax"/>
        </c:scaling>
        <c:delete val="1"/>
        <c:axPos val="l"/>
        <c:numFmt formatCode="General" sourceLinked="1"/>
        <c:tickLblPos val="none"/>
        <c:crossAx val="632016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6.2297203824251211E-2"/>
          <c:y val="0.22808510638297871"/>
          <c:w val="0.87540559235149762"/>
          <c:h val="0.24361050613354185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5FA53F-66E6-4E75-9EB2-98D3A7E378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A7314B3-506C-4987-B949-C46542D6EA1A}">
      <dgm:prSet phldrT="[Текст]" custT="1"/>
      <dgm:spPr>
        <a:solidFill>
          <a:srgbClr val="00B050">
            <a:alpha val="34000"/>
          </a:srgbClr>
        </a:solidFill>
      </dgm:spPr>
      <dgm:t>
        <a:bodyPr/>
        <a:lstStyle/>
        <a:p>
          <a:r>
            <a:rPr lang="ru-RU" sz="16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Прожиточный минимум</a:t>
          </a:r>
        </a:p>
      </dgm:t>
    </dgm:pt>
    <dgm:pt modelId="{4274D585-FACA-4BA6-82CE-5C4DEE40D52C}" type="parTrans" cxnId="{1F47AAC6-E3CA-4F1A-9B18-A4E9060FF4C4}">
      <dgm:prSet/>
      <dgm:spPr/>
      <dgm:t>
        <a:bodyPr/>
        <a:lstStyle/>
        <a:p>
          <a:endParaRPr lang="ru-RU"/>
        </a:p>
      </dgm:t>
    </dgm:pt>
    <dgm:pt modelId="{C2FC16F2-EFC5-4FC0-85FF-C9AC9B5D23FE}" type="sibTrans" cxnId="{1F47AAC6-E3CA-4F1A-9B18-A4E9060FF4C4}">
      <dgm:prSet/>
      <dgm:spPr/>
      <dgm:t>
        <a:bodyPr/>
        <a:lstStyle/>
        <a:p>
          <a:endParaRPr lang="ru-RU"/>
        </a:p>
      </dgm:t>
    </dgm:pt>
    <dgm:pt modelId="{54AE895E-A139-418E-8C42-D2A324B0BBE4}">
      <dgm:prSet phldrT="[Текст]" custT="1"/>
      <dgm:spPr>
        <a:solidFill>
          <a:srgbClr val="FFFF00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Потребительская корзина</a:t>
          </a:r>
        </a:p>
      </dgm:t>
    </dgm:pt>
    <dgm:pt modelId="{926B37F0-23D2-4B51-9C52-ED2241774AFB}" type="parTrans" cxnId="{C57AD3DF-376D-436C-8639-0BD75E74730B}">
      <dgm:prSet/>
      <dgm:spPr/>
      <dgm:t>
        <a:bodyPr/>
        <a:lstStyle/>
        <a:p>
          <a:endParaRPr lang="ru-RU"/>
        </a:p>
      </dgm:t>
    </dgm:pt>
    <dgm:pt modelId="{E8507DDB-07E6-489C-93A7-38915DB913CD}" type="sibTrans" cxnId="{C57AD3DF-376D-436C-8639-0BD75E74730B}">
      <dgm:prSet/>
      <dgm:spPr/>
      <dgm:t>
        <a:bodyPr/>
        <a:lstStyle/>
        <a:p>
          <a:endParaRPr lang="ru-RU"/>
        </a:p>
      </dgm:t>
    </dgm:pt>
    <dgm:pt modelId="{9A5AF26A-6735-426A-A113-7976190477D6}">
      <dgm:prSet phldrT="[Текст]" custT="1"/>
      <dgm:spPr>
        <a:solidFill>
          <a:schemeClr val="tx2">
            <a:lumMod val="60000"/>
            <a:lumOff val="40000"/>
            <a:alpha val="37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Обязательные платежи сборы</a:t>
          </a:r>
        </a:p>
      </dgm:t>
    </dgm:pt>
    <dgm:pt modelId="{5DEEC2FA-4E2C-4398-A88A-3565CFB74F52}" type="parTrans" cxnId="{10CB04C1-B099-4C49-A46C-83A21201494B}">
      <dgm:prSet/>
      <dgm:spPr/>
      <dgm:t>
        <a:bodyPr/>
        <a:lstStyle/>
        <a:p>
          <a:endParaRPr lang="ru-RU"/>
        </a:p>
      </dgm:t>
    </dgm:pt>
    <dgm:pt modelId="{9828993F-55F4-4123-A4D8-08A724891202}" type="sibTrans" cxnId="{10CB04C1-B099-4C49-A46C-83A21201494B}">
      <dgm:prSet/>
      <dgm:spPr/>
      <dgm:t>
        <a:bodyPr/>
        <a:lstStyle/>
        <a:p>
          <a:endParaRPr lang="ru-RU"/>
        </a:p>
      </dgm:t>
    </dgm:pt>
    <dgm:pt modelId="{B38D13C8-589A-4657-88CB-29101BAF7AE2}" type="pres">
      <dgm:prSet presAssocID="{B55FA53F-66E6-4E75-9EB2-98D3A7E378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8444EC4-CAD7-4E74-A9E2-AEC4A7441E7D}" type="pres">
      <dgm:prSet presAssocID="{0A7314B3-506C-4987-B949-C46542D6EA1A}" presName="hierRoot1" presStyleCnt="0">
        <dgm:presLayoutVars>
          <dgm:hierBranch val="init"/>
        </dgm:presLayoutVars>
      </dgm:prSet>
      <dgm:spPr/>
    </dgm:pt>
    <dgm:pt modelId="{6BA93A62-731F-4EFB-BA05-62FE9F3A1859}" type="pres">
      <dgm:prSet presAssocID="{0A7314B3-506C-4987-B949-C46542D6EA1A}" presName="rootComposite1" presStyleCnt="0"/>
      <dgm:spPr/>
    </dgm:pt>
    <dgm:pt modelId="{7200B5F4-C141-4E01-9087-3C113D03651C}" type="pres">
      <dgm:prSet presAssocID="{0A7314B3-506C-4987-B949-C46542D6EA1A}" presName="rootText1" presStyleLbl="node0" presStyleIdx="0" presStyleCnt="1" custScaleX="111024" custScaleY="869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8DA6C-5E40-4F6F-8B32-D8B4DEE56051}" type="pres">
      <dgm:prSet presAssocID="{0A7314B3-506C-4987-B949-C46542D6EA1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A2F7D37-A70C-4758-94C8-88462EED3B7C}" type="pres">
      <dgm:prSet presAssocID="{0A7314B3-506C-4987-B949-C46542D6EA1A}" presName="hierChild2" presStyleCnt="0"/>
      <dgm:spPr/>
    </dgm:pt>
    <dgm:pt modelId="{B0A2C9B8-D13A-482E-9823-5FB47CD866EC}" type="pres">
      <dgm:prSet presAssocID="{926B37F0-23D2-4B51-9C52-ED2241774AFB}" presName="Name37" presStyleLbl="parChTrans1D2" presStyleIdx="0" presStyleCnt="2"/>
      <dgm:spPr/>
      <dgm:t>
        <a:bodyPr/>
        <a:lstStyle/>
        <a:p>
          <a:endParaRPr lang="ru-RU"/>
        </a:p>
      </dgm:t>
    </dgm:pt>
    <dgm:pt modelId="{42D6A3FE-AE35-4B8A-9335-47C058360377}" type="pres">
      <dgm:prSet presAssocID="{54AE895E-A139-418E-8C42-D2A324B0BBE4}" presName="hierRoot2" presStyleCnt="0">
        <dgm:presLayoutVars>
          <dgm:hierBranch val="init"/>
        </dgm:presLayoutVars>
      </dgm:prSet>
      <dgm:spPr/>
    </dgm:pt>
    <dgm:pt modelId="{55C9E820-984B-4BC6-A6FA-5ACFDDDBA670}" type="pres">
      <dgm:prSet presAssocID="{54AE895E-A139-418E-8C42-D2A324B0BBE4}" presName="rootComposite" presStyleCnt="0"/>
      <dgm:spPr/>
    </dgm:pt>
    <dgm:pt modelId="{ACF8A5BE-B4D2-4566-AF4B-073606D0D34C}" type="pres">
      <dgm:prSet presAssocID="{54AE895E-A139-418E-8C42-D2A324B0BBE4}" presName="rootText" presStyleLbl="node2" presStyleIdx="0" presStyleCnt="2" custScaleY="735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11E6A2-D7E2-490A-BBC3-DCB203CFFE45}" type="pres">
      <dgm:prSet presAssocID="{54AE895E-A139-418E-8C42-D2A324B0BBE4}" presName="rootConnector" presStyleLbl="node2" presStyleIdx="0" presStyleCnt="2"/>
      <dgm:spPr/>
      <dgm:t>
        <a:bodyPr/>
        <a:lstStyle/>
        <a:p>
          <a:endParaRPr lang="ru-RU"/>
        </a:p>
      </dgm:t>
    </dgm:pt>
    <dgm:pt modelId="{E5B5DEB9-8EBE-42FC-826D-C2DC80C4B523}" type="pres">
      <dgm:prSet presAssocID="{54AE895E-A139-418E-8C42-D2A324B0BBE4}" presName="hierChild4" presStyleCnt="0"/>
      <dgm:spPr/>
    </dgm:pt>
    <dgm:pt modelId="{6F7DE573-6C17-4997-B438-F70B71E92BB7}" type="pres">
      <dgm:prSet presAssocID="{54AE895E-A139-418E-8C42-D2A324B0BBE4}" presName="hierChild5" presStyleCnt="0"/>
      <dgm:spPr/>
    </dgm:pt>
    <dgm:pt modelId="{AE5E4FF5-45CF-4B5E-9060-7B3816DAE540}" type="pres">
      <dgm:prSet presAssocID="{5DEEC2FA-4E2C-4398-A88A-3565CFB74F52}" presName="Name37" presStyleLbl="parChTrans1D2" presStyleIdx="1" presStyleCnt="2"/>
      <dgm:spPr/>
      <dgm:t>
        <a:bodyPr/>
        <a:lstStyle/>
        <a:p>
          <a:endParaRPr lang="ru-RU"/>
        </a:p>
      </dgm:t>
    </dgm:pt>
    <dgm:pt modelId="{AF33FB23-09AA-4EDB-81B0-DCBEBCCAF9A2}" type="pres">
      <dgm:prSet presAssocID="{9A5AF26A-6735-426A-A113-7976190477D6}" presName="hierRoot2" presStyleCnt="0">
        <dgm:presLayoutVars>
          <dgm:hierBranch val="init"/>
        </dgm:presLayoutVars>
      </dgm:prSet>
      <dgm:spPr/>
    </dgm:pt>
    <dgm:pt modelId="{16528F1F-53F7-4AF7-B34A-56D1A49ECEE3}" type="pres">
      <dgm:prSet presAssocID="{9A5AF26A-6735-426A-A113-7976190477D6}" presName="rootComposite" presStyleCnt="0"/>
      <dgm:spPr/>
    </dgm:pt>
    <dgm:pt modelId="{8381DCA7-229C-4CFF-B715-01E87CF59FF9}" type="pres">
      <dgm:prSet presAssocID="{9A5AF26A-6735-426A-A113-7976190477D6}" presName="rootText" presStyleLbl="node2" presStyleIdx="1" presStyleCnt="2" custScaleY="667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46E2D5-C11B-4CAA-B0FE-21765B555596}" type="pres">
      <dgm:prSet presAssocID="{9A5AF26A-6735-426A-A113-7976190477D6}" presName="rootConnector" presStyleLbl="node2" presStyleIdx="1" presStyleCnt="2"/>
      <dgm:spPr/>
      <dgm:t>
        <a:bodyPr/>
        <a:lstStyle/>
        <a:p>
          <a:endParaRPr lang="ru-RU"/>
        </a:p>
      </dgm:t>
    </dgm:pt>
    <dgm:pt modelId="{A45F2402-1F5F-4007-86FA-8EDD72518E53}" type="pres">
      <dgm:prSet presAssocID="{9A5AF26A-6735-426A-A113-7976190477D6}" presName="hierChild4" presStyleCnt="0"/>
      <dgm:spPr/>
    </dgm:pt>
    <dgm:pt modelId="{8690D56F-FA14-44AB-B9BB-4A1456E401CB}" type="pres">
      <dgm:prSet presAssocID="{9A5AF26A-6735-426A-A113-7976190477D6}" presName="hierChild5" presStyleCnt="0"/>
      <dgm:spPr/>
    </dgm:pt>
    <dgm:pt modelId="{43298168-1F71-4748-AC84-4ECF0D5851CC}" type="pres">
      <dgm:prSet presAssocID="{0A7314B3-506C-4987-B949-C46542D6EA1A}" presName="hierChild3" presStyleCnt="0"/>
      <dgm:spPr/>
    </dgm:pt>
  </dgm:ptLst>
  <dgm:cxnLst>
    <dgm:cxn modelId="{10CB04C1-B099-4C49-A46C-83A21201494B}" srcId="{0A7314B3-506C-4987-B949-C46542D6EA1A}" destId="{9A5AF26A-6735-426A-A113-7976190477D6}" srcOrd="1" destOrd="0" parTransId="{5DEEC2FA-4E2C-4398-A88A-3565CFB74F52}" sibTransId="{9828993F-55F4-4123-A4D8-08A724891202}"/>
    <dgm:cxn modelId="{C065D9F0-ECEF-4868-9096-4C8D8B86D9CC}" type="presOf" srcId="{9A5AF26A-6735-426A-A113-7976190477D6}" destId="{8381DCA7-229C-4CFF-B715-01E87CF59FF9}" srcOrd="0" destOrd="0" presId="urn:microsoft.com/office/officeart/2005/8/layout/orgChart1"/>
    <dgm:cxn modelId="{DD70FB40-B896-4F03-A48E-4B8A5395C09C}" type="presOf" srcId="{9A5AF26A-6735-426A-A113-7976190477D6}" destId="{1A46E2D5-C11B-4CAA-B0FE-21765B555596}" srcOrd="1" destOrd="0" presId="urn:microsoft.com/office/officeart/2005/8/layout/orgChart1"/>
    <dgm:cxn modelId="{970692CF-0F1A-41D4-A40C-3A6B6E1C6E00}" type="presOf" srcId="{54AE895E-A139-418E-8C42-D2A324B0BBE4}" destId="{1611E6A2-D7E2-490A-BBC3-DCB203CFFE45}" srcOrd="1" destOrd="0" presId="urn:microsoft.com/office/officeart/2005/8/layout/orgChart1"/>
    <dgm:cxn modelId="{CF6C431F-0782-41CC-8A14-42EF59254DEA}" type="presOf" srcId="{0A7314B3-506C-4987-B949-C46542D6EA1A}" destId="{45D8DA6C-5E40-4F6F-8B32-D8B4DEE56051}" srcOrd="1" destOrd="0" presId="urn:microsoft.com/office/officeart/2005/8/layout/orgChart1"/>
    <dgm:cxn modelId="{C57AD3DF-376D-436C-8639-0BD75E74730B}" srcId="{0A7314B3-506C-4987-B949-C46542D6EA1A}" destId="{54AE895E-A139-418E-8C42-D2A324B0BBE4}" srcOrd="0" destOrd="0" parTransId="{926B37F0-23D2-4B51-9C52-ED2241774AFB}" sibTransId="{E8507DDB-07E6-489C-93A7-38915DB913CD}"/>
    <dgm:cxn modelId="{6E1F6320-4D93-43BE-B0FA-EE9639F919FA}" type="presOf" srcId="{926B37F0-23D2-4B51-9C52-ED2241774AFB}" destId="{B0A2C9B8-D13A-482E-9823-5FB47CD866EC}" srcOrd="0" destOrd="0" presId="urn:microsoft.com/office/officeart/2005/8/layout/orgChart1"/>
    <dgm:cxn modelId="{23178989-06D6-4BA2-BE5A-24073BFB4461}" type="presOf" srcId="{0A7314B3-506C-4987-B949-C46542D6EA1A}" destId="{7200B5F4-C141-4E01-9087-3C113D03651C}" srcOrd="0" destOrd="0" presId="urn:microsoft.com/office/officeart/2005/8/layout/orgChart1"/>
    <dgm:cxn modelId="{1F47AAC6-E3CA-4F1A-9B18-A4E9060FF4C4}" srcId="{B55FA53F-66E6-4E75-9EB2-98D3A7E3780F}" destId="{0A7314B3-506C-4987-B949-C46542D6EA1A}" srcOrd="0" destOrd="0" parTransId="{4274D585-FACA-4BA6-82CE-5C4DEE40D52C}" sibTransId="{C2FC16F2-EFC5-4FC0-85FF-C9AC9B5D23FE}"/>
    <dgm:cxn modelId="{E8C5E5C2-6129-4155-8AAC-2FFB30380175}" type="presOf" srcId="{54AE895E-A139-418E-8C42-D2A324B0BBE4}" destId="{ACF8A5BE-B4D2-4566-AF4B-073606D0D34C}" srcOrd="0" destOrd="0" presId="urn:microsoft.com/office/officeart/2005/8/layout/orgChart1"/>
    <dgm:cxn modelId="{6A3F90EC-CC4C-4C3D-8D79-163D68989DBD}" type="presOf" srcId="{5DEEC2FA-4E2C-4398-A88A-3565CFB74F52}" destId="{AE5E4FF5-45CF-4B5E-9060-7B3816DAE540}" srcOrd="0" destOrd="0" presId="urn:microsoft.com/office/officeart/2005/8/layout/orgChart1"/>
    <dgm:cxn modelId="{E27257DF-97D1-4DBE-AB06-D6797B667564}" type="presOf" srcId="{B55FA53F-66E6-4E75-9EB2-98D3A7E3780F}" destId="{B38D13C8-589A-4657-88CB-29101BAF7AE2}" srcOrd="0" destOrd="0" presId="urn:microsoft.com/office/officeart/2005/8/layout/orgChart1"/>
    <dgm:cxn modelId="{D357C948-35CF-41E6-B9B2-7B5B07F4E330}" type="presParOf" srcId="{B38D13C8-589A-4657-88CB-29101BAF7AE2}" destId="{98444EC4-CAD7-4E74-A9E2-AEC4A7441E7D}" srcOrd="0" destOrd="0" presId="urn:microsoft.com/office/officeart/2005/8/layout/orgChart1"/>
    <dgm:cxn modelId="{DFB90FD7-C9C1-4477-80B6-B5A61FDC44C1}" type="presParOf" srcId="{98444EC4-CAD7-4E74-A9E2-AEC4A7441E7D}" destId="{6BA93A62-731F-4EFB-BA05-62FE9F3A1859}" srcOrd="0" destOrd="0" presId="urn:microsoft.com/office/officeart/2005/8/layout/orgChart1"/>
    <dgm:cxn modelId="{AEC312AF-A1D7-48A0-B1D9-9EDA075A13D0}" type="presParOf" srcId="{6BA93A62-731F-4EFB-BA05-62FE9F3A1859}" destId="{7200B5F4-C141-4E01-9087-3C113D03651C}" srcOrd="0" destOrd="0" presId="urn:microsoft.com/office/officeart/2005/8/layout/orgChart1"/>
    <dgm:cxn modelId="{4033E2B6-1F51-421D-AE8E-69571420186A}" type="presParOf" srcId="{6BA93A62-731F-4EFB-BA05-62FE9F3A1859}" destId="{45D8DA6C-5E40-4F6F-8B32-D8B4DEE56051}" srcOrd="1" destOrd="0" presId="urn:microsoft.com/office/officeart/2005/8/layout/orgChart1"/>
    <dgm:cxn modelId="{6F5BC0B0-5B1E-492C-A26C-89391C104418}" type="presParOf" srcId="{98444EC4-CAD7-4E74-A9E2-AEC4A7441E7D}" destId="{DA2F7D37-A70C-4758-94C8-88462EED3B7C}" srcOrd="1" destOrd="0" presId="urn:microsoft.com/office/officeart/2005/8/layout/orgChart1"/>
    <dgm:cxn modelId="{17600793-8B57-45FE-A1A5-DB1B08DF0BD2}" type="presParOf" srcId="{DA2F7D37-A70C-4758-94C8-88462EED3B7C}" destId="{B0A2C9B8-D13A-482E-9823-5FB47CD866EC}" srcOrd="0" destOrd="0" presId="urn:microsoft.com/office/officeart/2005/8/layout/orgChart1"/>
    <dgm:cxn modelId="{3AF39FD1-8E8F-47E5-B65D-0C923D49D1EE}" type="presParOf" srcId="{DA2F7D37-A70C-4758-94C8-88462EED3B7C}" destId="{42D6A3FE-AE35-4B8A-9335-47C058360377}" srcOrd="1" destOrd="0" presId="urn:microsoft.com/office/officeart/2005/8/layout/orgChart1"/>
    <dgm:cxn modelId="{BFDB23DB-7FB4-4575-916F-DE6A2C11AA80}" type="presParOf" srcId="{42D6A3FE-AE35-4B8A-9335-47C058360377}" destId="{55C9E820-984B-4BC6-A6FA-5ACFDDDBA670}" srcOrd="0" destOrd="0" presId="urn:microsoft.com/office/officeart/2005/8/layout/orgChart1"/>
    <dgm:cxn modelId="{C558B381-6D53-482C-9873-1484DFD972FC}" type="presParOf" srcId="{55C9E820-984B-4BC6-A6FA-5ACFDDDBA670}" destId="{ACF8A5BE-B4D2-4566-AF4B-073606D0D34C}" srcOrd="0" destOrd="0" presId="urn:microsoft.com/office/officeart/2005/8/layout/orgChart1"/>
    <dgm:cxn modelId="{12419D81-5A5D-40E4-A371-E40F16F727D1}" type="presParOf" srcId="{55C9E820-984B-4BC6-A6FA-5ACFDDDBA670}" destId="{1611E6A2-D7E2-490A-BBC3-DCB203CFFE45}" srcOrd="1" destOrd="0" presId="urn:microsoft.com/office/officeart/2005/8/layout/orgChart1"/>
    <dgm:cxn modelId="{481F2A2C-813A-4F61-B785-114A80880127}" type="presParOf" srcId="{42D6A3FE-AE35-4B8A-9335-47C058360377}" destId="{E5B5DEB9-8EBE-42FC-826D-C2DC80C4B523}" srcOrd="1" destOrd="0" presId="urn:microsoft.com/office/officeart/2005/8/layout/orgChart1"/>
    <dgm:cxn modelId="{52ED901F-F8B6-4396-88C0-ADADA377352E}" type="presParOf" srcId="{42D6A3FE-AE35-4B8A-9335-47C058360377}" destId="{6F7DE573-6C17-4997-B438-F70B71E92BB7}" srcOrd="2" destOrd="0" presId="urn:microsoft.com/office/officeart/2005/8/layout/orgChart1"/>
    <dgm:cxn modelId="{9406EE7A-368E-419E-B8AF-A1CC4454E802}" type="presParOf" srcId="{DA2F7D37-A70C-4758-94C8-88462EED3B7C}" destId="{AE5E4FF5-45CF-4B5E-9060-7B3816DAE540}" srcOrd="2" destOrd="0" presId="urn:microsoft.com/office/officeart/2005/8/layout/orgChart1"/>
    <dgm:cxn modelId="{D6AFDFC1-CC38-4151-A693-F51DBD3753D8}" type="presParOf" srcId="{DA2F7D37-A70C-4758-94C8-88462EED3B7C}" destId="{AF33FB23-09AA-4EDB-81B0-DCBEBCCAF9A2}" srcOrd="3" destOrd="0" presId="urn:microsoft.com/office/officeart/2005/8/layout/orgChart1"/>
    <dgm:cxn modelId="{F0AAA761-A536-437A-8630-1D29E9521694}" type="presParOf" srcId="{AF33FB23-09AA-4EDB-81B0-DCBEBCCAF9A2}" destId="{16528F1F-53F7-4AF7-B34A-56D1A49ECEE3}" srcOrd="0" destOrd="0" presId="urn:microsoft.com/office/officeart/2005/8/layout/orgChart1"/>
    <dgm:cxn modelId="{C95AF186-1584-4AD7-9CD8-9E2209F1B6E4}" type="presParOf" srcId="{16528F1F-53F7-4AF7-B34A-56D1A49ECEE3}" destId="{8381DCA7-229C-4CFF-B715-01E87CF59FF9}" srcOrd="0" destOrd="0" presId="urn:microsoft.com/office/officeart/2005/8/layout/orgChart1"/>
    <dgm:cxn modelId="{B812B493-434E-49E5-9FFD-6A69878A9209}" type="presParOf" srcId="{16528F1F-53F7-4AF7-B34A-56D1A49ECEE3}" destId="{1A46E2D5-C11B-4CAA-B0FE-21765B555596}" srcOrd="1" destOrd="0" presId="urn:microsoft.com/office/officeart/2005/8/layout/orgChart1"/>
    <dgm:cxn modelId="{42D967B4-4E9F-4CC3-ADF4-7020A8861A8B}" type="presParOf" srcId="{AF33FB23-09AA-4EDB-81B0-DCBEBCCAF9A2}" destId="{A45F2402-1F5F-4007-86FA-8EDD72518E53}" srcOrd="1" destOrd="0" presId="urn:microsoft.com/office/officeart/2005/8/layout/orgChart1"/>
    <dgm:cxn modelId="{AD37CBE0-8E42-47DD-AC7C-6DA4DB3DCA3D}" type="presParOf" srcId="{AF33FB23-09AA-4EDB-81B0-DCBEBCCAF9A2}" destId="{8690D56F-FA14-44AB-B9BB-4A1456E401CB}" srcOrd="2" destOrd="0" presId="urn:microsoft.com/office/officeart/2005/8/layout/orgChart1"/>
    <dgm:cxn modelId="{37B91864-AE8C-44DB-B9E1-ADF417347D01}" type="presParOf" srcId="{98444EC4-CAD7-4E74-A9E2-AEC4A7441E7D}" destId="{43298168-1F71-4748-AC84-4ECF0D5851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E5E4FF5-45CF-4B5E-9060-7B3816DAE540}">
      <dsp:nvSpPr>
        <dsp:cNvPr id="0" name=""/>
        <dsp:cNvSpPr/>
      </dsp:nvSpPr>
      <dsp:spPr>
        <a:xfrm>
          <a:off x="2238375" y="1455666"/>
          <a:ext cx="1224944" cy="425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593"/>
              </a:lnTo>
              <a:lnTo>
                <a:pt x="1224944" y="212593"/>
              </a:lnTo>
              <a:lnTo>
                <a:pt x="1224944" y="4251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A2C9B8-D13A-482E-9823-5FB47CD866EC}">
      <dsp:nvSpPr>
        <dsp:cNvPr id="0" name=""/>
        <dsp:cNvSpPr/>
      </dsp:nvSpPr>
      <dsp:spPr>
        <a:xfrm>
          <a:off x="1013430" y="1455666"/>
          <a:ext cx="1224944" cy="425187"/>
        </a:xfrm>
        <a:custGeom>
          <a:avLst/>
          <a:gdLst/>
          <a:ahLst/>
          <a:cxnLst/>
          <a:rect l="0" t="0" r="0" b="0"/>
          <a:pathLst>
            <a:path>
              <a:moveTo>
                <a:pt x="1224944" y="0"/>
              </a:moveTo>
              <a:lnTo>
                <a:pt x="1224944" y="212593"/>
              </a:lnTo>
              <a:lnTo>
                <a:pt x="0" y="212593"/>
              </a:lnTo>
              <a:lnTo>
                <a:pt x="0" y="4251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0B5F4-C141-4E01-9087-3C113D03651C}">
      <dsp:nvSpPr>
        <dsp:cNvPr id="0" name=""/>
        <dsp:cNvSpPr/>
      </dsp:nvSpPr>
      <dsp:spPr>
        <a:xfrm>
          <a:off x="1114422" y="575174"/>
          <a:ext cx="2247905" cy="880492"/>
        </a:xfrm>
        <a:prstGeom prst="rect">
          <a:avLst/>
        </a:prstGeom>
        <a:solidFill>
          <a:srgbClr val="00B050">
            <a:alpha val="34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Прожиточный минимум</a:t>
          </a:r>
        </a:p>
      </dsp:txBody>
      <dsp:txXfrm>
        <a:off x="1114422" y="575174"/>
        <a:ext cx="2247905" cy="880492"/>
      </dsp:txXfrm>
    </dsp:sp>
    <dsp:sp modelId="{ACF8A5BE-B4D2-4566-AF4B-073606D0D34C}">
      <dsp:nvSpPr>
        <dsp:cNvPr id="0" name=""/>
        <dsp:cNvSpPr/>
      </dsp:nvSpPr>
      <dsp:spPr>
        <a:xfrm>
          <a:off x="1079" y="1880854"/>
          <a:ext cx="2024701" cy="74437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Потребительская корзина</a:t>
          </a:r>
        </a:p>
      </dsp:txBody>
      <dsp:txXfrm>
        <a:off x="1079" y="1880854"/>
        <a:ext cx="2024701" cy="744371"/>
      </dsp:txXfrm>
    </dsp:sp>
    <dsp:sp modelId="{8381DCA7-229C-4CFF-B715-01E87CF59FF9}">
      <dsp:nvSpPr>
        <dsp:cNvPr id="0" name=""/>
        <dsp:cNvSpPr/>
      </dsp:nvSpPr>
      <dsp:spPr>
        <a:xfrm>
          <a:off x="2450968" y="1880854"/>
          <a:ext cx="2024701" cy="675521"/>
        </a:xfrm>
        <a:prstGeom prst="rect">
          <a:avLst/>
        </a:prstGeom>
        <a:solidFill>
          <a:schemeClr val="tx2">
            <a:lumMod val="60000"/>
            <a:lumOff val="40000"/>
            <a:alpha val="37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Обязательные платежи сборы</a:t>
          </a:r>
        </a:p>
      </dsp:txBody>
      <dsp:txXfrm>
        <a:off x="2450968" y="1880854"/>
        <a:ext cx="2024701" cy="675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tykai</cp:lastModifiedBy>
  <cp:revision>3</cp:revision>
  <dcterms:created xsi:type="dcterms:W3CDTF">2018-06-05T06:25:00Z</dcterms:created>
  <dcterms:modified xsi:type="dcterms:W3CDTF">2018-06-05T06:45:00Z</dcterms:modified>
</cp:coreProperties>
</file>